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eastAsia="方正小标宋简体"/>
          <w:bCs/>
          <w:color w:val="auto"/>
          <w:sz w:val="44"/>
          <w:szCs w:val="44"/>
        </w:rPr>
      </w:pPr>
      <w:r>
        <w:rPr>
          <w:rFonts w:hint="eastAsia" w:ascii="Times New Roman" w:eastAsia="方正小标宋简体"/>
          <w:bCs/>
          <w:color w:val="auto"/>
          <w:sz w:val="44"/>
          <w:szCs w:val="44"/>
        </w:rPr>
        <w:t>丰2025-41-1号（一期）、丰2025-41-2号（一期）</w:t>
      </w:r>
      <w:r>
        <w:rPr>
          <w:rFonts w:ascii="Times New Roman" w:eastAsia="方正小标宋简体"/>
          <w:bCs/>
          <w:color w:val="auto"/>
          <w:sz w:val="44"/>
          <w:szCs w:val="44"/>
        </w:rPr>
        <w:t>地块国有建设用地使用权拍卖出让须知</w:t>
      </w:r>
    </w:p>
    <w:p>
      <w:pPr>
        <w:spacing w:line="540" w:lineRule="exact"/>
        <w:ind w:firstLine="642" w:firstLineChars="200"/>
        <w:rPr>
          <w:rFonts w:ascii="Times New Roman" w:eastAsia="仿宋"/>
          <w:b/>
          <w:color w:val="auto"/>
          <w:szCs w:val="32"/>
        </w:rPr>
      </w:pPr>
    </w:p>
    <w:p>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市房地产管理法》《中华人民共和国城镇国有土地使用权出让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w:t>
      </w:r>
      <w:r>
        <w:rPr>
          <w:rFonts w:hint="eastAsia" w:ascii="Times New Roman"/>
          <w:color w:val="auto"/>
          <w:szCs w:val="32"/>
        </w:rPr>
        <w:t>丰2025-41-1号（一期）、丰2025-41-2号（一期）</w:t>
      </w:r>
      <w:r>
        <w:rPr>
          <w:rFonts w:ascii="Times New Roman"/>
          <w:color w:val="auto"/>
          <w:szCs w:val="32"/>
        </w:rPr>
        <w:t>地块国有建设用地使用权。</w:t>
      </w:r>
      <w:bookmarkStart w:id="6" w:name="_GoBack"/>
      <w:bookmarkEnd w:id="6"/>
    </w:p>
    <w:p>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pPr>
        <w:spacing w:line="540" w:lineRule="exact"/>
        <w:ind w:firstLine="640" w:firstLineChars="200"/>
        <w:rPr>
          <w:rFonts w:ascii="Times New Roman"/>
          <w:color w:val="auto"/>
          <w:szCs w:val="32"/>
        </w:rPr>
      </w:pPr>
      <w:r>
        <w:rPr>
          <w:rFonts w:ascii="Times New Roman"/>
          <w:color w:val="auto"/>
          <w:szCs w:val="32"/>
        </w:rPr>
        <w:t>二、拍卖出让活动时间、地点</w:t>
      </w:r>
    </w:p>
    <w:p>
      <w:pPr>
        <w:widowControl/>
        <w:spacing w:line="540" w:lineRule="exact"/>
        <w:ind w:firstLine="640" w:firstLineChars="200"/>
        <w:rPr>
          <w:rFonts w:ascii="Times New Roman"/>
          <w:color w:val="auto"/>
          <w:szCs w:val="32"/>
        </w:rPr>
      </w:pPr>
      <w:r>
        <w:rPr>
          <w:rFonts w:ascii="Times New Roman"/>
          <w:color w:val="auto"/>
          <w:szCs w:val="32"/>
        </w:rPr>
        <w:t>拍卖时间：2026年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日9：00。</w:t>
      </w:r>
    </w:p>
    <w:p>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pPr>
        <w:spacing w:line="540" w:lineRule="exact"/>
        <w:ind w:firstLine="640" w:firstLineChars="200"/>
        <w:rPr>
          <w:rFonts w:ascii="Times New Roman"/>
          <w:color w:val="auto"/>
          <w:szCs w:val="32"/>
        </w:rPr>
      </w:pPr>
      <w:r>
        <w:rPr>
          <w:rFonts w:ascii="Times New Roman"/>
          <w:color w:val="auto"/>
          <w:szCs w:val="32"/>
        </w:rPr>
        <w:t>（一）地块的基本情况</w:t>
      </w:r>
    </w:p>
    <w:p>
      <w:pPr>
        <w:spacing w:line="520" w:lineRule="exact"/>
        <w:ind w:firstLine="642" w:firstLineChars="200"/>
        <w:rPr>
          <w:rFonts w:hint="eastAsia" w:eastAsia="仿宋_GB2312"/>
          <w:color w:val="auto"/>
          <w:sz w:val="32"/>
          <w:szCs w:val="32"/>
        </w:rPr>
      </w:pPr>
      <w:r>
        <w:rPr>
          <w:rFonts w:ascii="Times New Roman"/>
          <w:b/>
          <w:szCs w:val="32"/>
        </w:rPr>
        <w:t>1.</w:t>
      </w:r>
      <w:r>
        <w:rPr>
          <w:rFonts w:hint="default" w:ascii="Times New Roman" w:hAnsi="Times New Roman" w:eastAsia="楷体_GB2312" w:cs="Times New Roman"/>
          <w:b/>
          <w:color w:val="auto"/>
          <w:sz w:val="32"/>
          <w:szCs w:val="32"/>
        </w:rPr>
        <w:t>丰2025-41-1号（一期）地块</w:t>
      </w:r>
      <w:r>
        <w:rPr>
          <w:rFonts w:hint="default" w:ascii="Times New Roman" w:hAnsi="Times New Roman" w:eastAsia="楷体_GB2312" w:cs="Times New Roman"/>
          <w:b/>
          <w:color w:val="auto"/>
          <w:sz w:val="32"/>
          <w:szCs w:val="32"/>
          <w:lang w:eastAsia="zh-CN"/>
        </w:rPr>
        <w:t>。</w:t>
      </w:r>
      <w:r>
        <w:rPr>
          <w:rFonts w:hint="eastAsia" w:eastAsia="仿宋_GB2312"/>
          <w:color w:val="auto"/>
          <w:sz w:val="32"/>
          <w:szCs w:val="32"/>
        </w:rPr>
        <w:t>该宗地即2024-12-1号（一期）储备用地，该宗地位于东宝产业社区，晋江大桥立交东北侧、规划东宝路西侧。</w:t>
      </w:r>
      <w:r>
        <w:rPr>
          <w:rFonts w:eastAsia="仿宋_GB2312"/>
          <w:color w:val="auto"/>
          <w:sz w:val="32"/>
          <w:szCs w:val="32"/>
        </w:rPr>
        <w:t>土地面积</w:t>
      </w:r>
      <w:r>
        <w:rPr>
          <w:rFonts w:hint="eastAsia" w:eastAsia="仿宋_GB2312"/>
          <w:color w:val="auto"/>
          <w:sz w:val="32"/>
          <w:szCs w:val="32"/>
        </w:rPr>
        <w:t>19217平方米（约合28.83亩）</w:t>
      </w:r>
      <w:r>
        <w:rPr>
          <w:rFonts w:eastAsia="仿宋_GB2312"/>
          <w:bCs/>
          <w:color w:val="auto"/>
          <w:sz w:val="32"/>
          <w:szCs w:val="32"/>
          <w:lang w:val="zh-CN"/>
        </w:rPr>
        <w:t>。</w:t>
      </w:r>
      <w:r>
        <w:rPr>
          <w:rFonts w:hint="eastAsia" w:eastAsia="仿宋_GB2312"/>
          <w:color w:val="auto"/>
          <w:sz w:val="32"/>
          <w:szCs w:val="32"/>
        </w:rPr>
        <w:t>规划用途：商业、商务金融用地。主要技术指标：容积率4.0以下，建筑密度50%以下，绿地率20%以上，建筑高度120米以下，并满足航空限高要求。建设内容为商务办公大楼和配套商业设施，其中商业计容建筑面积约8000平方米。</w:t>
      </w:r>
    </w:p>
    <w:p>
      <w:pPr>
        <w:spacing w:line="520" w:lineRule="exact"/>
        <w:ind w:firstLine="642" w:firstLineChars="200"/>
        <w:rPr>
          <w:rFonts w:hint="eastAsia" w:eastAsia="仿宋_GB2312"/>
          <w:color w:val="auto"/>
          <w:sz w:val="32"/>
          <w:szCs w:val="32"/>
        </w:rPr>
      </w:pPr>
      <w:r>
        <w:rPr>
          <w:rFonts w:hint="eastAsia" w:eastAsia="楷体_GB2312"/>
          <w:b/>
          <w:color w:val="auto"/>
          <w:sz w:val="32"/>
          <w:szCs w:val="32"/>
          <w:lang w:val="en-US" w:eastAsia="zh-CN"/>
        </w:rPr>
        <w:t>2.</w:t>
      </w:r>
      <w:r>
        <w:rPr>
          <w:rFonts w:hint="eastAsia" w:eastAsia="楷体_GB2312"/>
          <w:b/>
          <w:color w:val="auto"/>
          <w:sz w:val="32"/>
          <w:szCs w:val="32"/>
          <w:lang w:eastAsia="zh-CN"/>
        </w:rPr>
        <w:t>丰2025-41-2号（一期）地块。</w:t>
      </w:r>
      <w:r>
        <w:rPr>
          <w:rFonts w:hint="eastAsia" w:eastAsia="仿宋_GB2312"/>
          <w:sz w:val="32"/>
          <w:szCs w:val="32"/>
        </w:rPr>
        <w:t>该宗地即2024-12-2号（一期）储备用地，该宗地位于东宝产业社区，晋江大桥立交东北侧、规划东宝路西侧、兴业路南侧。</w:t>
      </w:r>
      <w:r>
        <w:rPr>
          <w:rFonts w:eastAsia="仿宋_GB2312"/>
          <w:color w:val="auto"/>
          <w:sz w:val="32"/>
          <w:szCs w:val="32"/>
        </w:rPr>
        <w:t>土地面积</w:t>
      </w:r>
      <w:r>
        <w:rPr>
          <w:rFonts w:hint="eastAsia" w:ascii="Times New Roman" w:hAnsi="Times New Roman" w:eastAsia="仿宋_GB2312" w:cs="Times New Roman"/>
          <w:sz w:val="32"/>
          <w:szCs w:val="32"/>
          <w:lang w:val="en-US" w:eastAsia="zh-CN"/>
        </w:rPr>
        <w:t>15707</w:t>
      </w:r>
      <w:r>
        <w:rPr>
          <w:rFonts w:hint="default" w:ascii="Times New Roman" w:hAnsi="Times New Roman" w:eastAsia="仿宋_GB2312" w:cs="Times New Roman"/>
          <w:color w:val="auto"/>
          <w:sz w:val="32"/>
          <w:szCs w:val="32"/>
          <w:lang w:val="zh-CN"/>
        </w:rPr>
        <w:t>平方米（约</w:t>
      </w:r>
      <w:r>
        <w:rPr>
          <w:rFonts w:hint="eastAsia" w:ascii="Times New Roman" w:cs="Times New Roman"/>
          <w:color w:val="auto"/>
          <w:sz w:val="32"/>
          <w:szCs w:val="32"/>
          <w:lang w:val="en-US" w:eastAsia="zh-CN"/>
        </w:rPr>
        <w:t>23.56</w:t>
      </w:r>
      <w:r>
        <w:rPr>
          <w:rFonts w:hint="default" w:ascii="Times New Roman" w:hAnsi="Times New Roman" w:eastAsia="仿宋_GB2312" w:cs="Times New Roman"/>
          <w:color w:val="auto"/>
          <w:sz w:val="32"/>
          <w:szCs w:val="32"/>
          <w:lang w:val="zh-CN"/>
        </w:rPr>
        <w:t>亩）</w:t>
      </w:r>
      <w:r>
        <w:rPr>
          <w:rFonts w:eastAsia="仿宋_GB2312"/>
          <w:bCs/>
          <w:color w:val="000000"/>
          <w:sz w:val="32"/>
          <w:szCs w:val="32"/>
          <w:lang w:val="zh-CN"/>
        </w:rPr>
        <w:t>。</w:t>
      </w:r>
      <w:r>
        <w:rPr>
          <w:rFonts w:hint="eastAsia" w:eastAsia="仿宋_GB2312"/>
          <w:sz w:val="32"/>
          <w:szCs w:val="32"/>
        </w:rPr>
        <w:t>规划用途：商业、商务金融用地。主要技术指标：容积率4.0以下，建筑密度50%以下，绿地率20%以上，建筑高度120米以下，并满足航空限高要求。建设内容为商务办公大楼和配套商业设施，其中商业计容建筑面积约6500平方米。</w:t>
      </w:r>
    </w:p>
    <w:p>
      <w:pPr>
        <w:spacing w:line="540" w:lineRule="exact"/>
        <w:ind w:firstLine="640" w:firstLineChars="200"/>
        <w:rPr>
          <w:rFonts w:ascii="Times New Roman"/>
          <w:color w:val="auto"/>
          <w:szCs w:val="32"/>
        </w:rPr>
      </w:pPr>
      <w:r>
        <w:rPr>
          <w:rFonts w:ascii="Times New Roman"/>
          <w:color w:val="auto"/>
          <w:szCs w:val="32"/>
        </w:rPr>
        <w:t>（二）规划指标和相关要求</w:t>
      </w:r>
    </w:p>
    <w:p>
      <w:pPr>
        <w:widowControl/>
        <w:spacing w:line="540" w:lineRule="exact"/>
        <w:ind w:firstLine="640" w:firstLineChars="200"/>
        <w:rPr>
          <w:rFonts w:hint="eastAsia" w:ascii="Times New Roman"/>
          <w:color w:val="auto"/>
          <w:szCs w:val="32"/>
        </w:rPr>
      </w:pPr>
      <w:r>
        <w:rPr>
          <w:rFonts w:hint="eastAsia" w:ascii="Times New Roman"/>
          <w:color w:val="auto"/>
          <w:szCs w:val="32"/>
        </w:rPr>
        <w:t>1.丰2025-41-1号（一期）地块建设内容为商务办公大楼和配套商业设施，其中商业计容建筑面积8000平方米；该地块商业建筑、办公建筑可分割销售、可分割转让。丰2025-41-2号（一期）地块主要建设内容为商务办公大楼和配套商业设施，其中商业计容建筑面积6500平方米；该地块商业建筑、办公建筑可分割销售、可分割转让。</w:t>
      </w:r>
    </w:p>
    <w:p>
      <w:pPr>
        <w:widowControl/>
        <w:spacing w:line="540" w:lineRule="exact"/>
        <w:ind w:firstLine="640" w:firstLineChars="200"/>
        <w:rPr>
          <w:rFonts w:ascii="Times New Roman"/>
          <w:color w:val="auto"/>
          <w:szCs w:val="32"/>
        </w:rPr>
      </w:pPr>
      <w:r>
        <w:rPr>
          <w:rFonts w:ascii="Times New Roman"/>
          <w:color w:val="auto"/>
          <w:szCs w:val="32"/>
        </w:rPr>
        <w:t>五、竞买人资格</w:t>
      </w:r>
    </w:p>
    <w:p>
      <w:pPr>
        <w:widowControl/>
        <w:spacing w:line="560" w:lineRule="exact"/>
        <w:ind w:firstLine="640" w:firstLineChars="200"/>
        <w:rPr>
          <w:rFonts w:ascii="Times New Roman"/>
          <w:color w:val="auto"/>
          <w:szCs w:val="32"/>
        </w:rPr>
      </w:pPr>
      <w:bookmarkStart w:id="0" w:name="_Hlk25847111"/>
      <w:r>
        <w:rPr>
          <w:rFonts w:ascii="Times New Roman"/>
          <w:color w:val="auto"/>
          <w:szCs w:val="32"/>
        </w:rPr>
        <w:t>中华人民共和国境内外的法人、自然人和其他组织，符合竞买申请人条件的，除欠缴土地出让金者、已在本市取得合法土地未按规定开发建设者，列入福建省恶意逃废债务失信行为人“黑名单”的企业、全国法院失信被执行人（包括自然人、法人或其他组织）以及法律法规另有规定外，均可申请参加竞买。</w:t>
      </w:r>
      <w:bookmarkEnd w:id="0"/>
      <w:r>
        <w:rPr>
          <w:rFonts w:ascii="Times New Roman"/>
          <w:color w:val="auto"/>
          <w:szCs w:val="32"/>
        </w:rPr>
        <w:t>竞买申请人应当单独申请。竞买申请人提交竞买申请书时，应同时提交竞买保证金，同时提交竞买保证金属于自有资金，不属于银行贷款、股东借款、民间借款、转贷和募集资金的承诺书及商业金融机构的资信证明。</w:t>
      </w:r>
    </w:p>
    <w:p>
      <w:pPr>
        <w:widowControl/>
        <w:spacing w:line="560" w:lineRule="exact"/>
        <w:ind w:firstLine="640" w:firstLineChars="200"/>
        <w:rPr>
          <w:rFonts w:ascii="Times New Roman"/>
          <w:color w:val="auto"/>
          <w:szCs w:val="32"/>
        </w:rPr>
      </w:pPr>
      <w:r>
        <w:rPr>
          <w:rFonts w:ascii="Times New Roman"/>
          <w:color w:val="auto"/>
          <w:szCs w:val="32"/>
        </w:rPr>
        <w:t>交纳竞买保证金的截止时间为202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13</w:t>
      </w:r>
      <w:r>
        <w:rPr>
          <w:rFonts w:ascii="Times New Roman"/>
          <w:color w:val="auto"/>
          <w:szCs w:val="32"/>
        </w:rPr>
        <w:t>日17时前（以到账时间为准）。竞买保证金账号在竞买人索取出让文件时，由泉州市产权交易中心有限公司另行发放。竞买人须在报名前将竞买保证金汇达泉州市产权交易中心有限公司指定的账户。</w:t>
      </w:r>
    </w:p>
    <w:p>
      <w:pPr>
        <w:widowControl/>
        <w:spacing w:line="560" w:lineRule="exact"/>
        <w:ind w:firstLine="640" w:firstLineChars="200"/>
        <w:rPr>
          <w:rFonts w:ascii="Times New Roman"/>
          <w:color w:val="auto"/>
          <w:szCs w:val="32"/>
        </w:rPr>
      </w:pPr>
      <w:r>
        <w:rPr>
          <w:rFonts w:hint="default" w:ascii="Times New Roman" w:hAnsi="Times New Roman" w:eastAsia="仿宋_GB2312" w:cs="Times New Roman"/>
          <w:sz w:val="32"/>
          <w:szCs w:val="32"/>
        </w:rPr>
        <w:t>丰2025-41-1号（一期）</w:t>
      </w:r>
      <w:r>
        <w:rPr>
          <w:rFonts w:hint="eastAsia" w:ascii="Times New Roman" w:eastAsia="仿宋"/>
          <w:color w:val="auto"/>
          <w:szCs w:val="32"/>
        </w:rPr>
        <w:t>地块</w:t>
      </w:r>
      <w:r>
        <w:rPr>
          <w:rFonts w:ascii="Times New Roman"/>
          <w:color w:val="auto"/>
          <w:szCs w:val="32"/>
        </w:rPr>
        <w:t>的竞买保证金为人民币（大写）</w:t>
      </w:r>
      <w:r>
        <w:rPr>
          <w:rFonts w:hint="eastAsia" w:ascii="Times New Roman"/>
          <w:color w:val="auto"/>
          <w:szCs w:val="32"/>
          <w:lang w:eastAsia="zh-CN"/>
        </w:rPr>
        <w:t>陆仟肆佰叁拾贰万</w:t>
      </w:r>
      <w:r>
        <w:rPr>
          <w:rFonts w:ascii="Times New Roman"/>
          <w:color w:val="auto"/>
          <w:szCs w:val="32"/>
        </w:rPr>
        <w:t>元整（¥</w:t>
      </w:r>
      <w:r>
        <w:rPr>
          <w:rFonts w:hint="eastAsia" w:ascii="Times New Roman"/>
          <w:color w:val="auto"/>
          <w:szCs w:val="32"/>
          <w:lang w:val="en-US" w:eastAsia="zh-CN"/>
        </w:rPr>
        <w:t>64</w:t>
      </w:r>
      <w:r>
        <w:rPr>
          <w:rFonts w:ascii="Times New Roman"/>
          <w:color w:val="auto"/>
          <w:szCs w:val="32"/>
        </w:rPr>
        <w:t>,</w:t>
      </w:r>
      <w:r>
        <w:rPr>
          <w:rFonts w:hint="eastAsia" w:ascii="Times New Roman"/>
          <w:color w:val="auto"/>
          <w:szCs w:val="32"/>
          <w:lang w:val="en-US" w:eastAsia="zh-CN"/>
        </w:rPr>
        <w:t>32</w:t>
      </w:r>
      <w:r>
        <w:rPr>
          <w:rFonts w:ascii="Times New Roman"/>
          <w:color w:val="auto"/>
          <w:szCs w:val="32"/>
        </w:rPr>
        <w:t>0,000.00）。</w:t>
      </w:r>
    </w:p>
    <w:p>
      <w:pPr>
        <w:widowControl/>
        <w:spacing w:line="560" w:lineRule="exact"/>
        <w:ind w:firstLine="640" w:firstLineChars="200"/>
        <w:rPr>
          <w:rFonts w:ascii="Times New Roman"/>
          <w:color w:val="auto"/>
          <w:szCs w:val="32"/>
        </w:rPr>
      </w:pPr>
      <w:r>
        <w:rPr>
          <w:rFonts w:hint="eastAsia" w:ascii="Times New Roman" w:hAnsi="Times New Roman" w:eastAsia="楷体_GB2312" w:cs="Times New Roman"/>
          <w:b w:val="0"/>
          <w:bCs/>
          <w:sz w:val="32"/>
          <w:szCs w:val="32"/>
          <w:lang w:val="en-US" w:eastAsia="zh-CN"/>
        </w:rPr>
        <w:t>丰2025-41-2号（一期）</w:t>
      </w:r>
      <w:r>
        <w:rPr>
          <w:rFonts w:ascii="Times New Roman"/>
          <w:color w:val="auto"/>
          <w:szCs w:val="32"/>
        </w:rPr>
        <w:t>地块的竞买保证金为人民币（大写）</w:t>
      </w:r>
      <w:r>
        <w:rPr>
          <w:rFonts w:hint="eastAsia" w:ascii="Times New Roman"/>
          <w:color w:val="auto"/>
          <w:szCs w:val="32"/>
          <w:lang w:eastAsia="zh-CN"/>
        </w:rPr>
        <w:t>伍仟贰佰捌拾陆万</w:t>
      </w:r>
      <w:r>
        <w:rPr>
          <w:rFonts w:ascii="Times New Roman"/>
          <w:color w:val="auto"/>
          <w:szCs w:val="32"/>
        </w:rPr>
        <w:t>元整（¥</w:t>
      </w:r>
      <w:r>
        <w:rPr>
          <w:rFonts w:hint="eastAsia" w:ascii="Times New Roman"/>
          <w:color w:val="auto"/>
          <w:szCs w:val="32"/>
          <w:lang w:val="en-US" w:eastAsia="zh-CN"/>
        </w:rPr>
        <w:t>52</w:t>
      </w:r>
      <w:r>
        <w:rPr>
          <w:rFonts w:ascii="Times New Roman"/>
          <w:color w:val="auto"/>
          <w:szCs w:val="32"/>
        </w:rPr>
        <w:t>,</w:t>
      </w:r>
      <w:r>
        <w:rPr>
          <w:rFonts w:hint="eastAsia" w:ascii="Times New Roman"/>
          <w:color w:val="auto"/>
          <w:szCs w:val="32"/>
          <w:lang w:val="en-US" w:eastAsia="zh-CN"/>
        </w:rPr>
        <w:t>86</w:t>
      </w:r>
      <w:r>
        <w:rPr>
          <w:rFonts w:ascii="Times New Roman"/>
          <w:color w:val="auto"/>
          <w:szCs w:val="32"/>
        </w:rPr>
        <w:t>0,000.00）。</w:t>
      </w:r>
    </w:p>
    <w:p>
      <w:pPr>
        <w:widowControl/>
        <w:spacing w:line="560" w:lineRule="exact"/>
        <w:ind w:firstLine="640" w:firstLineChars="200"/>
        <w:rPr>
          <w:rFonts w:ascii="Times New Roman"/>
          <w:color w:val="auto"/>
          <w:szCs w:val="32"/>
        </w:rPr>
      </w:pPr>
      <w:r>
        <w:rPr>
          <w:rFonts w:ascii="Times New Roman"/>
          <w:color w:val="auto"/>
          <w:szCs w:val="32"/>
        </w:rPr>
        <w:t>六、申请和资格审查</w:t>
      </w:r>
    </w:p>
    <w:p>
      <w:pPr>
        <w:widowControl/>
        <w:spacing w:line="560" w:lineRule="exact"/>
        <w:ind w:firstLine="640" w:firstLineChars="200"/>
        <w:rPr>
          <w:rFonts w:ascii="Times New Roman"/>
          <w:color w:val="auto"/>
          <w:szCs w:val="32"/>
        </w:rPr>
      </w:pPr>
      <w:r>
        <w:rPr>
          <w:rFonts w:ascii="Times New Roman"/>
          <w:color w:val="auto"/>
          <w:szCs w:val="32"/>
        </w:rPr>
        <w:t>（一）拍卖出让文件索取</w:t>
      </w:r>
    </w:p>
    <w:p>
      <w:pPr>
        <w:widowControl/>
        <w:spacing w:line="560" w:lineRule="exact"/>
        <w:ind w:firstLine="640" w:firstLineChars="200"/>
        <w:rPr>
          <w:rFonts w:ascii="Times New Roman"/>
          <w:color w:val="auto"/>
          <w:szCs w:val="32"/>
        </w:rPr>
      </w:pPr>
      <w:r>
        <w:rPr>
          <w:rFonts w:ascii="Times New Roman"/>
          <w:color w:val="auto"/>
          <w:szCs w:val="32"/>
        </w:rPr>
        <w:t>竞买人可于</w:t>
      </w:r>
      <w:r>
        <w:rPr>
          <w:rFonts w:ascii="Times New Roman" w:eastAsia="仿宋"/>
          <w:color w:val="auto"/>
          <w:szCs w:val="32"/>
        </w:rPr>
        <w:t>202</w:t>
      </w:r>
      <w:r>
        <w:rPr>
          <w:rFonts w:hint="eastAsia" w:ascii="Times New Roman" w:eastAsia="仿宋"/>
          <w:color w:val="auto"/>
          <w:szCs w:val="32"/>
        </w:rPr>
        <w:t>6</w:t>
      </w:r>
      <w:r>
        <w:rPr>
          <w:rFonts w:ascii="Times New Roman" w:eastAsia="仿宋"/>
          <w:color w:val="auto"/>
          <w:szCs w:val="32"/>
        </w:rPr>
        <w:t>年</w:t>
      </w:r>
      <w:r>
        <w:rPr>
          <w:rFonts w:hint="eastAsia" w:ascii="Times New Roman" w:eastAsia="仿宋"/>
          <w:color w:val="auto"/>
          <w:szCs w:val="32"/>
          <w:lang w:val="en-US" w:eastAsia="zh-CN"/>
        </w:rPr>
        <w:t>9</w:t>
      </w:r>
      <w:r>
        <w:rPr>
          <w:rFonts w:ascii="Times New Roman" w:eastAsia="仿宋"/>
          <w:color w:val="auto"/>
          <w:szCs w:val="32"/>
        </w:rPr>
        <w:t>月</w:t>
      </w:r>
      <w:r>
        <w:rPr>
          <w:rFonts w:hint="eastAsia" w:ascii="Times New Roman" w:eastAsia="仿宋"/>
          <w:color w:val="auto"/>
          <w:szCs w:val="32"/>
          <w:lang w:val="en-US" w:eastAsia="zh-CN"/>
        </w:rPr>
        <w:t>28</w:t>
      </w:r>
      <w:r>
        <w:rPr>
          <w:rFonts w:ascii="Times New Roman" w:eastAsia="仿宋"/>
          <w:color w:val="auto"/>
          <w:szCs w:val="32"/>
        </w:rPr>
        <w:t>日至</w:t>
      </w:r>
      <w:r>
        <w:rPr>
          <w:rFonts w:hint="eastAsia" w:ascii="Times New Roman" w:eastAsia="仿宋"/>
          <w:color w:val="auto"/>
          <w:szCs w:val="32"/>
        </w:rPr>
        <w:t>2026年</w:t>
      </w:r>
      <w:r>
        <w:rPr>
          <w:rFonts w:hint="eastAsia" w:ascii="Times New Roman" w:eastAsia="仿宋"/>
          <w:color w:val="auto"/>
          <w:szCs w:val="32"/>
          <w:lang w:val="en-US" w:eastAsia="zh-CN"/>
        </w:rPr>
        <w:t>10</w:t>
      </w:r>
      <w:r>
        <w:rPr>
          <w:rFonts w:ascii="Times New Roman" w:eastAsia="仿宋"/>
          <w:color w:val="auto"/>
          <w:szCs w:val="32"/>
        </w:rPr>
        <w:t>月</w:t>
      </w:r>
      <w:r>
        <w:rPr>
          <w:rFonts w:hint="eastAsia" w:ascii="Times New Roman" w:eastAsia="仿宋"/>
          <w:color w:val="auto"/>
          <w:szCs w:val="32"/>
          <w:lang w:val="en-US" w:eastAsia="zh-CN"/>
        </w:rPr>
        <w:t>13</w:t>
      </w:r>
      <w:r>
        <w:rPr>
          <w:rFonts w:ascii="Times New Roman" w:eastAsia="仿宋"/>
          <w:color w:val="auto"/>
          <w:szCs w:val="32"/>
        </w:rPr>
        <w:t>日</w:t>
      </w:r>
      <w:r>
        <w:rPr>
          <w:rFonts w:ascii="Times New Roman"/>
          <w:color w:val="auto"/>
          <w:szCs w:val="32"/>
        </w:rPr>
        <w:t>，到泉州市丰泽区海星街100号东海大厦A幢市政务服务中心4楼450室购买索取本次拍卖出让文件，具体包括：</w:t>
      </w:r>
    </w:p>
    <w:p>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25</w:t>
      </w:r>
      <w:r>
        <w:rPr>
          <w:rFonts w:ascii="Times New Roman"/>
          <w:color w:val="auto"/>
          <w:szCs w:val="32"/>
        </w:rPr>
        <w:t>号)</w:t>
      </w:r>
    </w:p>
    <w:p>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pPr>
        <w:widowControl/>
        <w:spacing w:line="560" w:lineRule="exact"/>
        <w:ind w:firstLine="640" w:firstLineChars="200"/>
        <w:rPr>
          <w:rFonts w:ascii="Times New Roman"/>
          <w:color w:val="auto"/>
          <w:szCs w:val="32"/>
        </w:rPr>
      </w:pPr>
      <w:r>
        <w:rPr>
          <w:rFonts w:ascii="Times New Roman"/>
          <w:color w:val="auto"/>
          <w:szCs w:val="32"/>
        </w:rPr>
        <w:t>4.竞买申请书</w:t>
      </w:r>
    </w:p>
    <w:p>
      <w:pPr>
        <w:widowControl/>
        <w:spacing w:line="560" w:lineRule="exact"/>
        <w:ind w:firstLine="640" w:firstLineChars="200"/>
        <w:rPr>
          <w:rFonts w:ascii="Times New Roman"/>
          <w:color w:val="auto"/>
          <w:szCs w:val="32"/>
        </w:rPr>
      </w:pPr>
      <w:r>
        <w:rPr>
          <w:rFonts w:ascii="Times New Roman"/>
          <w:color w:val="auto"/>
          <w:szCs w:val="32"/>
        </w:rPr>
        <w:t>5.竞买承诺书</w:t>
      </w:r>
    </w:p>
    <w:p>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7.授权委托书</w:t>
      </w:r>
    </w:p>
    <w:p>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pPr>
        <w:widowControl/>
        <w:spacing w:line="560" w:lineRule="exact"/>
        <w:ind w:firstLine="640" w:firstLineChars="200"/>
        <w:rPr>
          <w:rFonts w:ascii="Times New Roman"/>
          <w:color w:val="auto"/>
          <w:szCs w:val="32"/>
        </w:rPr>
      </w:pPr>
      <w:r>
        <w:rPr>
          <w:rFonts w:ascii="Times New Roman"/>
          <w:color w:val="auto"/>
          <w:szCs w:val="32"/>
        </w:rPr>
        <w:t>9.成交确认书（样本）</w:t>
      </w:r>
    </w:p>
    <w:p>
      <w:pPr>
        <w:widowControl/>
        <w:spacing w:line="560" w:lineRule="exact"/>
        <w:ind w:firstLine="640" w:firstLineChars="200"/>
        <w:rPr>
          <w:rFonts w:ascii="Times New Roman"/>
          <w:color w:val="auto"/>
          <w:szCs w:val="32"/>
        </w:rPr>
      </w:pPr>
      <w:r>
        <w:rPr>
          <w:rFonts w:ascii="Times New Roman"/>
          <w:color w:val="auto"/>
          <w:szCs w:val="32"/>
        </w:rPr>
        <w:t>10.地块宗地图（复印件）</w:t>
      </w:r>
    </w:p>
    <w:p>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pPr>
        <w:widowControl/>
        <w:spacing w:line="560" w:lineRule="exact"/>
        <w:ind w:firstLine="640" w:firstLineChars="200"/>
        <w:rPr>
          <w:rFonts w:ascii="Times New Roman"/>
          <w:color w:val="auto"/>
          <w:szCs w:val="32"/>
        </w:rPr>
      </w:pPr>
      <w:r>
        <w:rPr>
          <w:rFonts w:ascii="Times New Roman"/>
          <w:color w:val="auto"/>
          <w:szCs w:val="32"/>
        </w:rPr>
        <w:t>（二）提交申请</w:t>
      </w:r>
    </w:p>
    <w:p>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13</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（3）银行资信证明；</w:t>
      </w:r>
    </w:p>
    <w:p>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spacing w:line="520" w:lineRule="exact"/>
        <w:ind w:firstLine="640" w:firstLineChars="200"/>
        <w:rPr>
          <w:rFonts w:ascii="Times New Roman"/>
          <w:color w:val="auto"/>
          <w:szCs w:val="32"/>
        </w:rPr>
      </w:pPr>
      <w:r>
        <w:rPr>
          <w:rFonts w:ascii="Times New Roman"/>
          <w:color w:val="auto"/>
          <w:szCs w:val="32"/>
        </w:rPr>
        <w:t>2．自然人申请的，应提交下列文件：</w:t>
      </w:r>
    </w:p>
    <w:p>
      <w:pPr>
        <w:spacing w:line="520" w:lineRule="exact"/>
        <w:ind w:firstLine="640" w:firstLineChars="200"/>
        <w:rPr>
          <w:rFonts w:ascii="Times New Roman"/>
          <w:color w:val="auto"/>
          <w:szCs w:val="32"/>
        </w:rPr>
      </w:pPr>
      <w:r>
        <w:rPr>
          <w:rFonts w:ascii="Times New Roman"/>
          <w:color w:val="auto"/>
          <w:szCs w:val="32"/>
        </w:rPr>
        <w:t>（1）竞买申请书；</w:t>
      </w:r>
    </w:p>
    <w:p>
      <w:pPr>
        <w:spacing w:line="520" w:lineRule="exact"/>
        <w:ind w:firstLine="640" w:firstLineChars="200"/>
        <w:rPr>
          <w:rFonts w:ascii="Times New Roman"/>
          <w:color w:val="auto"/>
          <w:szCs w:val="32"/>
        </w:rPr>
      </w:pPr>
      <w:r>
        <w:rPr>
          <w:rFonts w:ascii="Times New Roman"/>
          <w:color w:val="auto"/>
          <w:szCs w:val="32"/>
        </w:rPr>
        <w:t>（2）竞买承诺书；</w:t>
      </w:r>
    </w:p>
    <w:p>
      <w:pPr>
        <w:spacing w:line="520" w:lineRule="exact"/>
        <w:ind w:firstLine="640" w:firstLineChars="200"/>
        <w:rPr>
          <w:rFonts w:ascii="Times New Roman"/>
          <w:color w:val="auto"/>
          <w:szCs w:val="32"/>
        </w:rPr>
      </w:pPr>
      <w:r>
        <w:rPr>
          <w:rFonts w:ascii="Times New Roman"/>
          <w:color w:val="auto"/>
          <w:szCs w:val="32"/>
        </w:rPr>
        <w:t>（3）银行资信证明；</w:t>
      </w:r>
    </w:p>
    <w:p>
      <w:pPr>
        <w:spacing w:line="520" w:lineRule="exact"/>
        <w:ind w:firstLine="640" w:firstLineChars="200"/>
        <w:rPr>
          <w:rFonts w:ascii="Times New Roman"/>
          <w:color w:val="auto"/>
          <w:szCs w:val="32"/>
        </w:rPr>
      </w:pPr>
      <w:r>
        <w:rPr>
          <w:rFonts w:ascii="Times New Roman"/>
          <w:color w:val="auto"/>
          <w:szCs w:val="32"/>
        </w:rPr>
        <w:t>（4）申请人有效身份证明文件；</w:t>
      </w:r>
    </w:p>
    <w:p>
      <w:pPr>
        <w:spacing w:line="52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（5）申请人委托他人办理的，应提交经公证的授权委托书及委托代理人的身份证明文件；</w:t>
      </w:r>
    </w:p>
    <w:p>
      <w:pPr>
        <w:spacing w:line="520" w:lineRule="exact"/>
        <w:ind w:firstLine="640" w:firstLineChars="200"/>
        <w:rPr>
          <w:rFonts w:ascii="Times New Roman"/>
          <w:color w:val="auto"/>
          <w:szCs w:val="32"/>
        </w:rPr>
      </w:pPr>
      <w:r>
        <w:rPr>
          <w:rFonts w:ascii="Times New Roman"/>
          <w:color w:val="auto"/>
          <w:szCs w:val="32"/>
        </w:rPr>
        <w:t>（6）竞买保证金交纳凭证；</w:t>
      </w:r>
    </w:p>
    <w:p>
      <w:pPr>
        <w:spacing w:line="520" w:lineRule="exact"/>
        <w:ind w:firstLine="640" w:firstLineChars="200"/>
        <w:rPr>
          <w:rFonts w:hint="eastAsia" w:ascii="Times New Roman" w:eastAsia="仿宋_GB2312"/>
          <w:color w:val="auto"/>
          <w:lang w:eastAsia="zh-CN"/>
        </w:rPr>
      </w:pPr>
      <w:r>
        <w:rPr>
          <w:rFonts w:ascii="Times New Roman"/>
          <w:color w:val="auto"/>
          <w:szCs w:val="32"/>
        </w:rPr>
        <w:t>（7）拍卖文件规定需要提交的其他文件。</w:t>
      </w:r>
    </w:p>
    <w:p>
      <w:pPr>
        <w:widowControl/>
        <w:spacing w:line="560" w:lineRule="exact"/>
        <w:ind w:firstLine="640" w:firstLineChars="200"/>
        <w:rPr>
          <w:rFonts w:ascii="Times New Roman"/>
          <w:color w:val="auto"/>
          <w:szCs w:val="32"/>
        </w:rPr>
      </w:pPr>
      <w:r>
        <w:rPr>
          <w:rFonts w:ascii="Times New Roman"/>
          <w:color w:val="auto"/>
          <w:szCs w:val="32"/>
        </w:rPr>
        <w:t>3．其他组织申请的，应提交下列文件：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（3）银行资信证明；</w:t>
      </w:r>
    </w:p>
    <w:p>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widowControl/>
        <w:spacing w:line="560" w:lineRule="exact"/>
        <w:ind w:firstLine="640" w:firstLineChars="200"/>
        <w:rPr>
          <w:rFonts w:ascii="Times New Roman"/>
          <w:color w:val="auto"/>
          <w:szCs w:val="32"/>
        </w:rPr>
      </w:pPr>
      <w:r>
        <w:rPr>
          <w:rFonts w:ascii="Times New Roman"/>
          <w:color w:val="auto"/>
          <w:szCs w:val="32"/>
        </w:rPr>
        <w:t>4．境外申请人申请的，应提交下列文件：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（3）银行资信证明；</w:t>
      </w:r>
    </w:p>
    <w:p>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pPr>
        <w:widowControl/>
        <w:spacing w:line="560" w:lineRule="exact"/>
        <w:ind w:firstLine="640" w:firstLineChars="200"/>
        <w:rPr>
          <w:rFonts w:ascii="Times New Roman"/>
          <w:color w:val="auto"/>
          <w:szCs w:val="32"/>
        </w:rPr>
      </w:pPr>
      <w:r>
        <w:rPr>
          <w:rFonts w:ascii="Times New Roman"/>
          <w:color w:val="auto"/>
          <w:szCs w:val="32"/>
        </w:rPr>
        <w:t>（三）资格审查</w:t>
      </w:r>
    </w:p>
    <w:p>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pPr>
        <w:widowControl/>
        <w:spacing w:line="560" w:lineRule="exact"/>
        <w:ind w:firstLine="640" w:firstLineChars="200"/>
        <w:rPr>
          <w:rFonts w:ascii="Times New Roman"/>
          <w:color w:val="auto"/>
          <w:szCs w:val="32"/>
        </w:rPr>
      </w:pPr>
      <w:r>
        <w:rPr>
          <w:rFonts w:ascii="Times New Roman"/>
          <w:color w:val="auto"/>
          <w:szCs w:val="32"/>
        </w:rPr>
        <w:t>（四）确认竞买人资格</w:t>
      </w:r>
    </w:p>
    <w:p>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pPr>
        <w:widowControl/>
        <w:spacing w:line="560" w:lineRule="exact"/>
        <w:ind w:firstLine="640" w:firstLineChars="200"/>
        <w:rPr>
          <w:rFonts w:ascii="Times New Roman"/>
          <w:color w:val="auto"/>
          <w:szCs w:val="32"/>
        </w:rPr>
      </w:pPr>
      <w:r>
        <w:rPr>
          <w:rFonts w:ascii="Times New Roman"/>
          <w:color w:val="auto"/>
          <w:szCs w:val="32"/>
        </w:rPr>
        <w:t>（五）答疑及现场踏勘</w:t>
      </w:r>
    </w:p>
    <w:p>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8</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9</w:t>
      </w:r>
      <w:r>
        <w:rPr>
          <w:rFonts w:ascii="Times New Roman"/>
          <w:color w:val="auto"/>
          <w:szCs w:val="32"/>
        </w:rPr>
        <w:t>日组织竞买人对拟出让地块进行现场踏勘。需由我局派员陪同实地踏勘的，请提前与我局联系（联系电话：0595－22769012）。</w:t>
      </w:r>
    </w:p>
    <w:p>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pPr>
        <w:widowControl/>
        <w:spacing w:line="560" w:lineRule="exact"/>
        <w:ind w:firstLine="640" w:firstLineChars="200"/>
        <w:rPr>
          <w:rFonts w:ascii="Times New Roman"/>
          <w:color w:val="auto"/>
          <w:szCs w:val="32"/>
        </w:rPr>
      </w:pPr>
      <w:r>
        <w:rPr>
          <w:rFonts w:hint="default" w:ascii="Times New Roman" w:hAnsi="Times New Roman" w:eastAsia="仿宋_GB2312" w:cs="Times New Roman"/>
          <w:sz w:val="32"/>
          <w:szCs w:val="32"/>
        </w:rPr>
        <w:t>丰2025-41-1号（一期）</w:t>
      </w:r>
      <w:r>
        <w:rPr>
          <w:rFonts w:ascii="Times New Roman"/>
          <w:color w:val="auto"/>
          <w:szCs w:val="32"/>
        </w:rPr>
        <w:t>地块，起叫价为人民币（大写）</w:t>
      </w:r>
      <w:r>
        <w:rPr>
          <w:rFonts w:hint="eastAsia" w:ascii="Times New Roman"/>
          <w:color w:val="auto"/>
          <w:szCs w:val="32"/>
          <w:lang w:eastAsia="zh-CN"/>
        </w:rPr>
        <w:t>参亿贰仟壹佰陆拾万</w:t>
      </w:r>
      <w:r>
        <w:rPr>
          <w:rFonts w:ascii="Times New Roman"/>
          <w:color w:val="auto"/>
          <w:szCs w:val="32"/>
        </w:rPr>
        <w:t>元整（¥</w:t>
      </w:r>
      <w:r>
        <w:rPr>
          <w:rFonts w:hint="eastAsia" w:ascii="Times New Roman"/>
          <w:color w:val="auto"/>
          <w:szCs w:val="32"/>
          <w:lang w:val="en-US" w:eastAsia="zh-CN"/>
        </w:rPr>
        <w:t>321</w:t>
      </w:r>
      <w:r>
        <w:rPr>
          <w:rFonts w:ascii="Times New Roman"/>
          <w:color w:val="auto"/>
          <w:szCs w:val="32"/>
        </w:rPr>
        <w:t>,</w:t>
      </w:r>
      <w:r>
        <w:rPr>
          <w:rFonts w:hint="eastAsia" w:ascii="Times New Roman"/>
          <w:color w:val="auto"/>
          <w:szCs w:val="32"/>
          <w:lang w:val="en-US" w:eastAsia="zh-CN"/>
        </w:rPr>
        <w:t>6</w:t>
      </w:r>
      <w:r>
        <w:rPr>
          <w:rFonts w:ascii="Times New Roman"/>
          <w:color w:val="auto"/>
          <w:szCs w:val="32"/>
        </w:rPr>
        <w:t>00,000.00），增价幅度为人民币（大写）</w:t>
      </w:r>
      <w:r>
        <w:rPr>
          <w:rFonts w:hint="eastAsia" w:ascii="Times New Roman"/>
          <w:color w:val="auto"/>
          <w:szCs w:val="32"/>
          <w:lang w:eastAsia="zh-CN"/>
        </w:rPr>
        <w:t>贰佰万</w:t>
      </w:r>
      <w:r>
        <w:rPr>
          <w:rFonts w:ascii="Times New Roman"/>
          <w:color w:val="auto"/>
          <w:szCs w:val="32"/>
        </w:rPr>
        <w:t>元整（¥</w:t>
      </w:r>
      <w:r>
        <w:rPr>
          <w:rFonts w:hint="eastAsia" w:ascii="Times New Roman"/>
          <w:color w:val="auto"/>
          <w:szCs w:val="32"/>
          <w:lang w:val="en-US" w:eastAsia="zh-CN"/>
        </w:rPr>
        <w:t>2</w:t>
      </w:r>
      <w:r>
        <w:rPr>
          <w:rFonts w:ascii="Times New Roman"/>
          <w:color w:val="auto"/>
          <w:szCs w:val="32"/>
        </w:rPr>
        <w:t>,000,000.00）或</w:t>
      </w:r>
      <w:r>
        <w:rPr>
          <w:rFonts w:hint="eastAsia" w:ascii="Times New Roman"/>
          <w:color w:val="auto"/>
          <w:szCs w:val="32"/>
          <w:lang w:val="en-US" w:eastAsia="zh-CN"/>
        </w:rPr>
        <w:t>200</w:t>
      </w:r>
      <w:r>
        <w:rPr>
          <w:rFonts w:ascii="Times New Roman"/>
          <w:color w:val="auto"/>
          <w:szCs w:val="32"/>
        </w:rPr>
        <w:t>万元整数倍金额。</w:t>
      </w:r>
    </w:p>
    <w:p>
      <w:pPr>
        <w:widowControl/>
        <w:spacing w:line="560" w:lineRule="exact"/>
        <w:ind w:firstLine="640" w:firstLineChars="200"/>
        <w:rPr>
          <w:rFonts w:ascii="Times New Roman"/>
          <w:color w:val="auto"/>
          <w:szCs w:val="32"/>
        </w:rPr>
      </w:pPr>
      <w:r>
        <w:rPr>
          <w:rFonts w:hint="eastAsia" w:ascii="Times New Roman" w:hAnsi="Times New Roman" w:eastAsia="楷体_GB2312" w:cs="Times New Roman"/>
          <w:b w:val="0"/>
          <w:bCs/>
          <w:sz w:val="32"/>
          <w:szCs w:val="32"/>
          <w:lang w:val="en-US" w:eastAsia="zh-CN"/>
        </w:rPr>
        <w:t>丰2025-41-2号（一期）</w:t>
      </w:r>
      <w:r>
        <w:rPr>
          <w:rFonts w:ascii="Times New Roman"/>
          <w:color w:val="auto"/>
          <w:szCs w:val="32"/>
        </w:rPr>
        <w:t>地块，起叫价为人民币（大写）</w:t>
      </w:r>
      <w:r>
        <w:rPr>
          <w:rFonts w:hint="eastAsia" w:ascii="Times New Roman"/>
          <w:color w:val="auto"/>
          <w:szCs w:val="32"/>
          <w:lang w:eastAsia="zh-CN"/>
        </w:rPr>
        <w:t>贰亿陆仟肆佰叁拾万</w:t>
      </w:r>
      <w:r>
        <w:rPr>
          <w:rFonts w:ascii="Times New Roman"/>
          <w:color w:val="auto"/>
          <w:szCs w:val="32"/>
        </w:rPr>
        <w:t>元整（¥</w:t>
      </w:r>
      <w:r>
        <w:rPr>
          <w:rFonts w:hint="eastAsia" w:ascii="Times New Roman"/>
          <w:color w:val="auto"/>
          <w:szCs w:val="32"/>
          <w:lang w:val="en-US" w:eastAsia="zh-CN"/>
        </w:rPr>
        <w:t>264</w:t>
      </w:r>
      <w:r>
        <w:rPr>
          <w:rFonts w:ascii="Times New Roman"/>
          <w:color w:val="auto"/>
          <w:szCs w:val="32"/>
        </w:rPr>
        <w:t>,</w:t>
      </w:r>
      <w:r>
        <w:rPr>
          <w:rFonts w:hint="eastAsia" w:ascii="Times New Roman"/>
          <w:color w:val="auto"/>
          <w:szCs w:val="32"/>
          <w:lang w:val="en-US" w:eastAsia="zh-CN"/>
        </w:rPr>
        <w:t>3</w:t>
      </w:r>
      <w:r>
        <w:rPr>
          <w:rFonts w:ascii="Times New Roman"/>
          <w:color w:val="auto"/>
          <w:szCs w:val="32"/>
        </w:rPr>
        <w:t>00,000.00），增价幅度为人民币（大写）</w:t>
      </w:r>
      <w:r>
        <w:rPr>
          <w:rFonts w:hint="eastAsia" w:ascii="Times New Roman"/>
          <w:color w:val="auto"/>
          <w:szCs w:val="32"/>
          <w:lang w:eastAsia="zh-CN"/>
        </w:rPr>
        <w:t>贰佰万</w:t>
      </w:r>
      <w:r>
        <w:rPr>
          <w:rFonts w:ascii="Times New Roman"/>
          <w:color w:val="auto"/>
          <w:szCs w:val="32"/>
        </w:rPr>
        <w:t>元整（¥</w:t>
      </w:r>
      <w:r>
        <w:rPr>
          <w:rFonts w:hint="eastAsia" w:ascii="Times New Roman"/>
          <w:color w:val="auto"/>
          <w:szCs w:val="32"/>
          <w:lang w:val="en-US" w:eastAsia="zh-CN"/>
        </w:rPr>
        <w:t>2</w:t>
      </w:r>
      <w:r>
        <w:rPr>
          <w:rFonts w:ascii="Times New Roman"/>
          <w:color w:val="auto"/>
          <w:szCs w:val="32"/>
        </w:rPr>
        <w:t>,000,000.00）或</w:t>
      </w:r>
      <w:r>
        <w:rPr>
          <w:rFonts w:hint="eastAsia" w:ascii="Times New Roman"/>
          <w:color w:val="auto"/>
          <w:szCs w:val="32"/>
          <w:lang w:val="en-US" w:eastAsia="zh-CN"/>
        </w:rPr>
        <w:t>200</w:t>
      </w:r>
      <w:r>
        <w:rPr>
          <w:rFonts w:ascii="Times New Roman"/>
          <w:color w:val="auto"/>
          <w:szCs w:val="32"/>
        </w:rPr>
        <w:t>万元整数倍金额。</w:t>
      </w:r>
    </w:p>
    <w:p>
      <w:pPr>
        <w:widowControl/>
        <w:spacing w:line="560" w:lineRule="exact"/>
        <w:ind w:firstLine="640" w:firstLineChars="200"/>
        <w:rPr>
          <w:rFonts w:ascii="Times New Roman"/>
          <w:color w:val="auto"/>
          <w:szCs w:val="32"/>
        </w:rPr>
      </w:pPr>
      <w:r>
        <w:rPr>
          <w:rFonts w:ascii="Times New Roman"/>
          <w:color w:val="auto"/>
          <w:szCs w:val="32"/>
        </w:rPr>
        <w:t>八、拍卖程序</w:t>
      </w:r>
    </w:p>
    <w:p>
      <w:pPr>
        <w:widowControl/>
        <w:spacing w:line="560" w:lineRule="exact"/>
        <w:ind w:firstLine="640" w:firstLineChars="200"/>
        <w:rPr>
          <w:rFonts w:ascii="Times New Roman"/>
          <w:color w:val="auto"/>
          <w:szCs w:val="32"/>
        </w:rPr>
      </w:pPr>
      <w:r>
        <w:rPr>
          <w:rFonts w:ascii="Times New Roman"/>
          <w:color w:val="auto"/>
          <w:szCs w:val="32"/>
        </w:rPr>
        <w:t>（一）拍卖会程序</w:t>
      </w:r>
    </w:p>
    <w:p>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pPr>
        <w:widowControl/>
        <w:spacing w:line="560" w:lineRule="exact"/>
        <w:ind w:firstLine="640" w:firstLineChars="200"/>
        <w:rPr>
          <w:rFonts w:ascii="Times New Roman"/>
          <w:color w:val="auto"/>
          <w:szCs w:val="32"/>
        </w:rPr>
      </w:pPr>
      <w:r>
        <w:rPr>
          <w:rFonts w:ascii="Times New Roman"/>
          <w:color w:val="auto"/>
          <w:szCs w:val="32"/>
        </w:rPr>
        <w:t>（四）出让结果公布</w:t>
      </w:r>
    </w:p>
    <w:p>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pPr>
        <w:widowControl/>
        <w:spacing w:line="560" w:lineRule="exact"/>
        <w:ind w:firstLine="640" w:firstLineChars="200"/>
        <w:rPr>
          <w:rFonts w:ascii="Times New Roman"/>
          <w:color w:val="auto"/>
          <w:szCs w:val="32"/>
        </w:rPr>
      </w:pPr>
      <w:r>
        <w:rPr>
          <w:rFonts w:ascii="Times New Roman"/>
          <w:color w:val="auto"/>
          <w:szCs w:val="32"/>
        </w:rPr>
        <w:t>九、竞价规则</w:t>
      </w:r>
    </w:p>
    <w:p>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pPr>
        <w:widowControl/>
        <w:spacing w:line="560" w:lineRule="exact"/>
        <w:ind w:firstLine="640" w:firstLineChars="200"/>
        <w:rPr>
          <w:rFonts w:ascii="Times New Roman"/>
          <w:color w:val="auto"/>
          <w:szCs w:val="32"/>
        </w:rPr>
      </w:pPr>
      <w:r>
        <w:rPr>
          <w:rFonts w:ascii="Times New Roman"/>
          <w:color w:val="auto"/>
          <w:szCs w:val="32"/>
        </w:rPr>
        <w:t>（四）202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日9:00前，竞买人须领取竞买号牌并进入竞买现场，否则视为放弃竞买资格。</w:t>
      </w:r>
    </w:p>
    <w:p>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pPr>
        <w:widowControl/>
        <w:spacing w:line="560" w:lineRule="exact"/>
        <w:ind w:firstLine="640" w:firstLineChars="200"/>
        <w:rPr>
          <w:rFonts w:ascii="Times New Roman"/>
          <w:color w:val="auto"/>
          <w:szCs w:val="32"/>
        </w:rPr>
      </w:pPr>
      <w:r>
        <w:rPr>
          <w:rFonts w:ascii="Times New Roman"/>
          <w:color w:val="auto"/>
          <w:szCs w:val="32"/>
        </w:rPr>
        <w:t>（一）缴款时间</w:t>
      </w:r>
    </w:p>
    <w:p>
      <w:pPr>
        <w:widowControl/>
        <w:spacing w:line="560" w:lineRule="exact"/>
        <w:ind w:firstLine="640" w:firstLineChars="200"/>
        <w:rPr>
          <w:rFonts w:hint="eastAsia"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上述地块竞得人自竞得之日起30日内应缴交成交价总额50%的成交价款（竞买保证金转作受让地块的定金，抵作土地出让价款），余款自竞得之日起</w:t>
      </w:r>
      <w:r>
        <w:rPr>
          <w:rFonts w:hint="eastAsia" w:ascii="Times New Roman"/>
          <w:color w:val="auto"/>
          <w:szCs w:val="32"/>
          <w:lang w:val="en-US" w:eastAsia="zh-CN"/>
        </w:rPr>
        <w:t>2</w:t>
      </w:r>
      <w:r>
        <w:rPr>
          <w:rFonts w:hint="eastAsia" w:ascii="Times New Roman"/>
          <w:color w:val="auto"/>
          <w:szCs w:val="32"/>
        </w:rPr>
        <w:t>个月内交清。</w:t>
      </w:r>
    </w:p>
    <w:p>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pPr>
        <w:widowControl/>
        <w:spacing w:line="560" w:lineRule="exact"/>
        <w:ind w:firstLine="640" w:firstLineChars="200"/>
        <w:rPr>
          <w:rFonts w:ascii="Times New Roman"/>
          <w:color w:val="auto"/>
          <w:szCs w:val="32"/>
        </w:rPr>
      </w:pPr>
      <w:r>
        <w:rPr>
          <w:rFonts w:ascii="Times New Roman"/>
          <w:color w:val="auto"/>
          <w:szCs w:val="32"/>
        </w:rPr>
        <w:t>十一、开工、竣工时间</w:t>
      </w:r>
    </w:p>
    <w:p>
      <w:pPr>
        <w:spacing w:line="579" w:lineRule="exact"/>
        <w:ind w:firstLine="636" w:firstLineChars="199"/>
        <w:rPr>
          <w:rFonts w:ascii="Times New Roman"/>
          <w:color w:val="auto"/>
          <w:szCs w:val="32"/>
        </w:rPr>
      </w:pPr>
      <w:bookmarkStart w:id="1" w:name="_Hlk26172042"/>
      <w:r>
        <w:rPr>
          <w:rFonts w:ascii="Times New Roman"/>
          <w:color w:val="auto"/>
          <w:szCs w:val="32"/>
        </w:rPr>
        <w:t>上述地块竞得人应在签订《国有建设用地使用权出让合同》之日起1年内开工，并在开工后3年内竣工。</w:t>
      </w:r>
    </w:p>
    <w:bookmarkEnd w:id="1"/>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2" w:name="KG_YQ_WYJ_BL"/>
      <w:r>
        <w:rPr>
          <w:rFonts w:ascii="Times New Roman"/>
          <w:color w:val="auto"/>
          <w:szCs w:val="32"/>
        </w:rPr>
        <w:t xml:space="preserve">1 </w:t>
      </w:r>
      <w:bookmarkEnd w:id="2"/>
      <w:r>
        <w:rPr>
          <w:rFonts w:ascii="Times New Roman"/>
          <w:color w:val="auto"/>
          <w:szCs w:val="32"/>
        </w:rPr>
        <w:t>‰的违约金，出让人有权要求竞得人继续履约。</w:t>
      </w:r>
    </w:p>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3" w:name="JG_YQ_WYJ_BL"/>
      <w:r>
        <w:rPr>
          <w:rFonts w:ascii="Times New Roman"/>
          <w:color w:val="auto"/>
          <w:szCs w:val="32"/>
        </w:rPr>
        <w:t xml:space="preserve">1 </w:t>
      </w:r>
      <w:bookmarkEnd w:id="3"/>
      <w:r>
        <w:rPr>
          <w:rFonts w:ascii="Times New Roman"/>
          <w:color w:val="auto"/>
          <w:szCs w:val="32"/>
        </w:rPr>
        <w:t>‰的违约金。</w:t>
      </w:r>
    </w:p>
    <w:p>
      <w:pPr>
        <w:widowControl/>
        <w:spacing w:line="560" w:lineRule="exact"/>
        <w:ind w:firstLine="640" w:firstLineChars="200"/>
        <w:rPr>
          <w:rFonts w:ascii="Times New Roman"/>
        </w:rPr>
      </w:pPr>
      <w:r>
        <w:rPr>
          <w:rFonts w:ascii="Times New Roman"/>
          <w:color w:val="auto"/>
          <w:szCs w:val="32"/>
        </w:rPr>
        <w:t>竞得人应在开工建设、竣工验收后及时向我局进行开工、竣工申报。</w:t>
      </w:r>
    </w:p>
    <w:p>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pPr>
        <w:widowControl/>
        <w:spacing w:line="560" w:lineRule="exact"/>
        <w:ind w:firstLine="640" w:firstLineChars="200"/>
        <w:rPr>
          <w:rFonts w:ascii="Times New Roman"/>
          <w:color w:val="auto"/>
          <w:szCs w:val="32"/>
        </w:rPr>
      </w:pPr>
      <w:r>
        <w:rPr>
          <w:rFonts w:ascii="Times New Roman"/>
          <w:color w:val="auto"/>
          <w:szCs w:val="32"/>
        </w:rPr>
        <w:t>十二、注意事项</w:t>
      </w:r>
    </w:p>
    <w:p>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4" w:name="_Hlk85133807"/>
      <w:r>
        <w:rPr>
          <w:rFonts w:ascii="Times New Roman"/>
          <w:color w:val="auto"/>
          <w:szCs w:val="32"/>
        </w:rPr>
        <w:t>竞买人</w:t>
      </w:r>
      <w:bookmarkEnd w:id="4"/>
      <w:r>
        <w:rPr>
          <w:rFonts w:ascii="Times New Roman"/>
          <w:color w:val="auto"/>
          <w:szCs w:val="32"/>
        </w:rPr>
        <w:t>对拍卖文件及地块现状无异议并全部接受，并对有关承诺承担法律责任。</w:t>
      </w:r>
    </w:p>
    <w:p>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pPr>
        <w:widowControl/>
        <w:spacing w:line="560" w:lineRule="exact"/>
        <w:ind w:firstLine="640" w:firstLineChars="200"/>
        <w:rPr>
          <w:rFonts w:ascii="Times New Roman"/>
          <w:color w:val="auto"/>
          <w:szCs w:val="32"/>
        </w:rPr>
      </w:pPr>
      <w:r>
        <w:rPr>
          <w:rFonts w:ascii="Times New Roman"/>
          <w:color w:val="auto"/>
          <w:szCs w:val="32"/>
        </w:rPr>
        <w:t>2</w:t>
      </w:r>
      <w:bookmarkStart w:id="5" w:name="OLE_LINK2"/>
      <w:r>
        <w:rPr>
          <w:rFonts w:ascii="Times New Roman"/>
          <w:color w:val="auto"/>
          <w:szCs w:val="32"/>
        </w:rPr>
        <w:t>．</w:t>
      </w:r>
      <w:bookmarkEnd w:id="5"/>
      <w:r>
        <w:rPr>
          <w:rFonts w:ascii="Times New Roman"/>
          <w:color w:val="auto"/>
          <w:szCs w:val="32"/>
        </w:rPr>
        <w:t>竞得人逾期或拒绝签订《国有建设用地使用权出让合同》的。</w:t>
      </w:r>
    </w:p>
    <w:p>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w:t>
            </w:r>
          </w:p>
        </w:tc>
      </w:tr>
    </w:tbl>
    <w:p>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pPr>
        <w:widowControl/>
        <w:spacing w:line="560" w:lineRule="exact"/>
        <w:ind w:firstLine="640" w:firstLineChars="200"/>
        <w:rPr>
          <w:rFonts w:ascii="Times New Roman"/>
          <w:color w:val="auto"/>
          <w:szCs w:val="32"/>
        </w:rPr>
      </w:pPr>
    </w:p>
    <w:p>
      <w:pPr>
        <w:widowControl/>
        <w:spacing w:line="560" w:lineRule="exact"/>
        <w:ind w:firstLine="640" w:firstLineChars="200"/>
        <w:rPr>
          <w:rFonts w:ascii="Times New Roman"/>
          <w:color w:val="auto"/>
          <w:szCs w:val="32"/>
        </w:rPr>
      </w:pPr>
    </w:p>
    <w:p>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pPr>
        <w:widowControl/>
        <w:spacing w:line="560" w:lineRule="exact"/>
        <w:ind w:firstLine="4480" w:firstLineChars="1400"/>
        <w:rPr>
          <w:rFonts w:ascii="Times New Roman"/>
          <w:color w:val="auto"/>
          <w:szCs w:val="32"/>
        </w:rPr>
      </w:pP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24</w:t>
      </w:r>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方正楷体_GBK"/>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5"/>
  <w:drawingGridHorizontalSpacing w:val="160"/>
  <w:drawingGridVerticalSpacing w:val="435"/>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0BDEDF38"/>
    <w:rsid w:val="105D2635"/>
    <w:rsid w:val="10801B04"/>
    <w:rsid w:val="13867A9F"/>
    <w:rsid w:val="145B04CE"/>
    <w:rsid w:val="14C702EB"/>
    <w:rsid w:val="157435CA"/>
    <w:rsid w:val="15956862"/>
    <w:rsid w:val="17646D55"/>
    <w:rsid w:val="17861AEB"/>
    <w:rsid w:val="185C25B1"/>
    <w:rsid w:val="1AB322F0"/>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9DD2AC7"/>
    <w:rsid w:val="3A314ED2"/>
    <w:rsid w:val="3A7D040E"/>
    <w:rsid w:val="3B0E44F4"/>
    <w:rsid w:val="3B7FC157"/>
    <w:rsid w:val="3BAF5D7D"/>
    <w:rsid w:val="3BFD9A3A"/>
    <w:rsid w:val="3D15067F"/>
    <w:rsid w:val="3DB14890"/>
    <w:rsid w:val="3E8C3A26"/>
    <w:rsid w:val="3F5FF36E"/>
    <w:rsid w:val="3F73645C"/>
    <w:rsid w:val="3FB73CFF"/>
    <w:rsid w:val="3FFF14EC"/>
    <w:rsid w:val="412A0477"/>
    <w:rsid w:val="42041D48"/>
    <w:rsid w:val="42836080"/>
    <w:rsid w:val="45D07A7B"/>
    <w:rsid w:val="45FB48A4"/>
    <w:rsid w:val="47F4388A"/>
    <w:rsid w:val="48DB5365"/>
    <w:rsid w:val="48E2729B"/>
    <w:rsid w:val="4BBD9992"/>
    <w:rsid w:val="4BDF7549"/>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6370DC"/>
    <w:rsid w:val="5E7210B7"/>
    <w:rsid w:val="5EBE1F44"/>
    <w:rsid w:val="5EF61BEE"/>
    <w:rsid w:val="5FF6E66D"/>
    <w:rsid w:val="5FFCDEF8"/>
    <w:rsid w:val="5FFE5D64"/>
    <w:rsid w:val="61E31F82"/>
    <w:rsid w:val="623173B1"/>
    <w:rsid w:val="627AADA0"/>
    <w:rsid w:val="64B6114A"/>
    <w:rsid w:val="654D6D68"/>
    <w:rsid w:val="66BB8E1C"/>
    <w:rsid w:val="67835892"/>
    <w:rsid w:val="69021880"/>
    <w:rsid w:val="69287FF9"/>
    <w:rsid w:val="69BA7FBC"/>
    <w:rsid w:val="69EF4473"/>
    <w:rsid w:val="69F5315F"/>
    <w:rsid w:val="6C5E3ED7"/>
    <w:rsid w:val="6D601559"/>
    <w:rsid w:val="6DC95D5B"/>
    <w:rsid w:val="6F4A2587"/>
    <w:rsid w:val="6F565F34"/>
    <w:rsid w:val="6F817756"/>
    <w:rsid w:val="6FBBBABD"/>
    <w:rsid w:val="706C57A0"/>
    <w:rsid w:val="70856287"/>
    <w:rsid w:val="71BFAB18"/>
    <w:rsid w:val="71CC5BD1"/>
    <w:rsid w:val="735B762D"/>
    <w:rsid w:val="73FF559C"/>
    <w:rsid w:val="73FF5AE4"/>
    <w:rsid w:val="75AF196A"/>
    <w:rsid w:val="75BE6923"/>
    <w:rsid w:val="75DE796D"/>
    <w:rsid w:val="761B3A3C"/>
    <w:rsid w:val="76F57795"/>
    <w:rsid w:val="772C6592"/>
    <w:rsid w:val="7BF7CC0B"/>
    <w:rsid w:val="7BFD8D70"/>
    <w:rsid w:val="7BFFC513"/>
    <w:rsid w:val="7C614DBC"/>
    <w:rsid w:val="7CED3003"/>
    <w:rsid w:val="7CFE5411"/>
    <w:rsid w:val="7DC16531"/>
    <w:rsid w:val="7DFD2408"/>
    <w:rsid w:val="7E216D95"/>
    <w:rsid w:val="7F3C7C26"/>
    <w:rsid w:val="7FAFA16A"/>
    <w:rsid w:val="7FFD452B"/>
    <w:rsid w:val="95CDA3A5"/>
    <w:rsid w:val="A7FEEA17"/>
    <w:rsid w:val="ADAD7FA1"/>
    <w:rsid w:val="AFFF219C"/>
    <w:rsid w:val="B6F5B665"/>
    <w:rsid w:val="B7DB20F6"/>
    <w:rsid w:val="BD3B2D74"/>
    <w:rsid w:val="BDFFC3DE"/>
    <w:rsid w:val="BEE466A8"/>
    <w:rsid w:val="BFDDAC3B"/>
    <w:rsid w:val="BFDFB18E"/>
    <w:rsid w:val="C77BCFBB"/>
    <w:rsid w:val="CDDBF24C"/>
    <w:rsid w:val="D5ECB5F8"/>
    <w:rsid w:val="D7BBABC2"/>
    <w:rsid w:val="DD7C8DA1"/>
    <w:rsid w:val="E7DE472B"/>
    <w:rsid w:val="ED6F6CAE"/>
    <w:rsid w:val="EF9DD4E3"/>
    <w:rsid w:val="EFBF4B4D"/>
    <w:rsid w:val="F33752BE"/>
    <w:rsid w:val="F3BFDEC1"/>
    <w:rsid w:val="F6129362"/>
    <w:rsid w:val="F7FD6FCC"/>
    <w:rsid w:val="F9D441FD"/>
    <w:rsid w:val="FAFE31B2"/>
    <w:rsid w:val="FB5F2D99"/>
    <w:rsid w:val="FBBFE06A"/>
    <w:rsid w:val="FD9FE1A1"/>
    <w:rsid w:val="FDFA9ED3"/>
    <w:rsid w:val="FE64B3F8"/>
    <w:rsid w:val="FEBE38AF"/>
    <w:rsid w:val="FED7EB8E"/>
    <w:rsid w:val="FF3E5D8C"/>
    <w:rsid w:val="FFBF3B85"/>
    <w:rsid w:val="FFF71578"/>
    <w:rsid w:val="FFFA44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500" w:lineRule="exact"/>
    </w:pPr>
    <w:rPr>
      <w:sz w:val="30"/>
    </w:rPr>
  </w:style>
  <w:style w:type="paragraph" w:styleId="4">
    <w:name w:val="Body Text Indent"/>
    <w:basedOn w:val="1"/>
    <w:next w:val="5"/>
    <w:qFormat/>
    <w:uiPriority w:val="0"/>
    <w:pPr>
      <w:ind w:firstLine="640" w:firstLineChars="200"/>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Plain Text"/>
    <w:basedOn w:val="1"/>
    <w:next w:val="7"/>
    <w:qFormat/>
    <w:uiPriority w:val="0"/>
    <w:rPr>
      <w:rFonts w:hAnsi="Courier New"/>
    </w:rPr>
  </w:style>
  <w:style w:type="paragraph" w:styleId="7">
    <w:name w:val="List Number 5"/>
    <w:basedOn w:val="1"/>
    <w:semiHidden/>
    <w:unhideWhenUsed/>
    <w:qFormat/>
    <w:uiPriority w:val="0"/>
    <w:pPr>
      <w:numPr>
        <w:ilvl w:val="0"/>
        <w:numId w:val="1"/>
      </w:numPr>
    </w:p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4"/>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dfdf</Company>
  <Pages>13</Pages>
  <Words>2933</Words>
  <Characters>3256</Characters>
  <Lines>203</Lines>
  <Paragraphs>187</Paragraphs>
  <TotalTime>6</TotalTime>
  <ScaleCrop>false</ScaleCrop>
  <LinksUpToDate>false</LinksUpToDate>
  <CharactersWithSpaces>6002</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2019-12-24T15:04:00Z</dcterms:created>
  <dc:creator>未羽</dc:creator>
  <cp:lastModifiedBy>利用科</cp:lastModifiedBy>
  <cp:lastPrinted>2025-07-05T07:07:00Z</cp:lastPrinted>
  <dcterms:modified xsi:type="dcterms:W3CDTF">2026-09-23T11:17:22Z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147DB053FB7B4A7CAC58A0FE60B8BF0F</vt:lpwstr>
  </property>
</Properties>
</file>