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ascii="Times New Roman" w:eastAsia="黑体"/>
          <w:color w:val="auto"/>
          <w:sz w:val="36"/>
        </w:rPr>
      </w:pPr>
    </w:p>
    <w:p>
      <w:pPr>
        <w:spacing w:line="520" w:lineRule="exact"/>
        <w:jc w:val="center"/>
        <w:rPr>
          <w:rFonts w:ascii="Times New Roman" w:eastAsia="黑体"/>
          <w:color w:val="auto"/>
          <w:sz w:val="36"/>
        </w:rPr>
      </w:pPr>
    </w:p>
    <w:p>
      <w:pPr>
        <w:spacing w:line="520" w:lineRule="exact"/>
        <w:jc w:val="center"/>
        <w:rPr>
          <w:rFonts w:ascii="Times New Roman" w:eastAsia="黑体"/>
          <w:color w:val="auto"/>
          <w:sz w:val="36"/>
        </w:rPr>
      </w:pPr>
    </w:p>
    <w:p>
      <w:pPr>
        <w:spacing w:line="520" w:lineRule="exact"/>
        <w:jc w:val="center"/>
        <w:rPr>
          <w:rFonts w:ascii="Times New Roman" w:eastAsia="黑体"/>
          <w:color w:val="auto"/>
          <w:sz w:val="36"/>
        </w:rPr>
      </w:pPr>
    </w:p>
    <w:p>
      <w:pPr>
        <w:spacing w:line="520" w:lineRule="exact"/>
        <w:jc w:val="center"/>
        <w:rPr>
          <w:rFonts w:ascii="Times New Roman" w:eastAsia="黑体"/>
          <w:color w:val="auto"/>
          <w:sz w:val="36"/>
        </w:rPr>
      </w:pPr>
    </w:p>
    <w:p>
      <w:pPr>
        <w:spacing w:line="520" w:lineRule="exact"/>
        <w:rPr>
          <w:rFonts w:ascii="Times New Roman" w:eastAsia="黑体"/>
          <w:color w:val="auto"/>
          <w:sz w:val="36"/>
        </w:rPr>
      </w:pPr>
    </w:p>
    <w:p>
      <w:pPr>
        <w:spacing w:line="520" w:lineRule="exact"/>
        <w:rPr>
          <w:rFonts w:ascii="Times New Roman" w:eastAsia="黑体"/>
          <w:color w:val="auto"/>
          <w:sz w:val="36"/>
        </w:rPr>
      </w:pPr>
    </w:p>
    <w:p>
      <w:pPr>
        <w:spacing w:line="520" w:lineRule="exact"/>
        <w:rPr>
          <w:rFonts w:ascii="Times New Roman" w:eastAsia="黑体"/>
          <w:color w:val="auto"/>
          <w:sz w:val="36"/>
        </w:rPr>
      </w:pPr>
    </w:p>
    <w:p>
      <w:pPr>
        <w:spacing w:line="540" w:lineRule="exact"/>
        <w:jc w:val="center"/>
        <w:rPr>
          <w:rFonts w:ascii="Times New Roman" w:eastAsia="汉仪大宋简"/>
          <w:color w:val="auto"/>
          <w:sz w:val="44"/>
          <w:szCs w:val="44"/>
        </w:rPr>
      </w:pPr>
    </w:p>
    <w:p>
      <w:pPr>
        <w:spacing w:line="540" w:lineRule="exact"/>
        <w:jc w:val="center"/>
        <w:rPr>
          <w:rFonts w:ascii="Times New Roman" w:eastAsia="汉仪大宋简"/>
          <w:color w:val="auto"/>
          <w:sz w:val="44"/>
          <w:szCs w:val="44"/>
        </w:rPr>
      </w:pPr>
      <w:r>
        <w:rPr>
          <w:rFonts w:ascii="Times New Roman" w:eastAsia="汉仪大宋简"/>
          <w:color w:val="auto"/>
          <w:sz w:val="44"/>
          <w:szCs w:val="44"/>
        </w:rPr>
        <w:t>泉州市自然资源和规划局</w:t>
      </w:r>
    </w:p>
    <w:p>
      <w:pPr>
        <w:spacing w:line="540" w:lineRule="exact"/>
        <w:jc w:val="center"/>
        <w:rPr>
          <w:rFonts w:ascii="Times New Roman" w:eastAsia="汉仪大宋简"/>
          <w:color w:val="auto"/>
          <w:sz w:val="44"/>
          <w:szCs w:val="44"/>
        </w:rPr>
      </w:pPr>
      <w:r>
        <w:rPr>
          <w:rFonts w:ascii="Times New Roman" w:eastAsia="汉仪大宋简"/>
          <w:color w:val="auto"/>
          <w:sz w:val="44"/>
          <w:szCs w:val="44"/>
        </w:rPr>
        <w:t>关于</w:t>
      </w:r>
      <w:r>
        <w:rPr>
          <w:rFonts w:hint="eastAsia" w:ascii="Times New Roman" w:eastAsia="汉仪大宋简"/>
          <w:color w:val="auto"/>
          <w:sz w:val="44"/>
          <w:szCs w:val="44"/>
        </w:rPr>
        <w:t>丰202</w:t>
      </w:r>
      <w:r>
        <w:rPr>
          <w:rFonts w:hint="eastAsia" w:ascii="Times New Roman" w:eastAsia="汉仪大宋简"/>
          <w:color w:val="auto"/>
          <w:sz w:val="44"/>
          <w:szCs w:val="44"/>
          <w:lang w:val="en-US" w:eastAsia="zh-CN"/>
        </w:rPr>
        <w:t>6</w:t>
      </w:r>
      <w:r>
        <w:rPr>
          <w:rFonts w:hint="eastAsia" w:ascii="Times New Roman" w:eastAsia="汉仪大宋简"/>
          <w:color w:val="auto"/>
          <w:sz w:val="44"/>
          <w:szCs w:val="44"/>
        </w:rPr>
        <w:t>-1号</w:t>
      </w:r>
      <w:r>
        <w:rPr>
          <w:rFonts w:ascii="Times New Roman" w:eastAsia="汉仪大宋简"/>
          <w:color w:val="auto"/>
          <w:sz w:val="44"/>
          <w:szCs w:val="44"/>
        </w:rPr>
        <w:t>地块国有建设用地使用权出让公告</w:t>
      </w:r>
    </w:p>
    <w:p>
      <w:pPr>
        <w:spacing w:line="540" w:lineRule="exact"/>
        <w:jc w:val="center"/>
        <w:rPr>
          <w:rFonts w:ascii="Times New Roman" w:eastAsia="楷体"/>
          <w:color w:val="auto"/>
          <w:szCs w:val="32"/>
        </w:rPr>
      </w:pPr>
      <w:r>
        <w:rPr>
          <w:rFonts w:ascii="Times New Roman" w:eastAsia="楷体"/>
          <w:color w:val="auto"/>
          <w:szCs w:val="32"/>
        </w:rPr>
        <w:t>泉自然资告字〔202</w:t>
      </w:r>
      <w:r>
        <w:rPr>
          <w:rFonts w:hint="eastAsia" w:ascii="Times New Roman" w:eastAsia="楷体"/>
          <w:color w:val="auto"/>
          <w:szCs w:val="32"/>
        </w:rPr>
        <w:t>6</w:t>
      </w:r>
      <w:r>
        <w:rPr>
          <w:rFonts w:ascii="Times New Roman" w:eastAsia="楷体"/>
          <w:color w:val="auto"/>
          <w:szCs w:val="32"/>
        </w:rPr>
        <w:t>〕</w:t>
      </w:r>
      <w:r>
        <w:rPr>
          <w:rFonts w:hint="eastAsia" w:ascii="Times New Roman" w:eastAsia="楷体"/>
          <w:color w:val="auto"/>
          <w:szCs w:val="32"/>
          <w:lang w:val="en-US" w:eastAsia="zh-CN"/>
        </w:rPr>
        <w:t>23</w:t>
      </w:r>
      <w:bookmarkStart w:id="9" w:name="_GoBack"/>
      <w:bookmarkEnd w:id="9"/>
      <w:r>
        <w:rPr>
          <w:rFonts w:ascii="Times New Roman" w:eastAsia="楷体"/>
          <w:color w:val="auto"/>
          <w:szCs w:val="32"/>
        </w:rPr>
        <w:t>号</w:t>
      </w:r>
    </w:p>
    <w:p>
      <w:pPr>
        <w:spacing w:line="540" w:lineRule="exact"/>
        <w:jc w:val="center"/>
        <w:rPr>
          <w:rFonts w:ascii="Times New Roman"/>
          <w:color w:val="auto"/>
          <w:sz w:val="30"/>
          <w:szCs w:val="30"/>
        </w:rPr>
      </w:pPr>
    </w:p>
    <w:p>
      <w:pPr>
        <w:pStyle w:val="2"/>
        <w:spacing w:line="560" w:lineRule="exact"/>
        <w:ind w:firstLine="640" w:firstLineChars="200"/>
        <w:jc w:val="left"/>
        <w:rPr>
          <w:rFonts w:ascii="Times New Roman" w:eastAsia="仿宋"/>
          <w:color w:val="auto"/>
          <w:sz w:val="32"/>
          <w:szCs w:val="32"/>
        </w:rPr>
      </w:pPr>
      <w:r>
        <w:rPr>
          <w:rFonts w:ascii="Times New Roman" w:eastAsia="仿宋"/>
          <w:color w:val="auto"/>
          <w:sz w:val="32"/>
          <w:szCs w:val="32"/>
        </w:rPr>
        <w:t>经泉州市人民政府批准，我局决定拍卖出让泉州市中心市区统管区</w:t>
      </w:r>
      <w:r>
        <w:rPr>
          <w:rFonts w:hint="eastAsia" w:ascii="Times New Roman" w:eastAsia="仿宋"/>
          <w:color w:val="auto"/>
          <w:sz w:val="32"/>
          <w:szCs w:val="32"/>
        </w:rPr>
        <w:t>1</w:t>
      </w:r>
      <w:r>
        <w:rPr>
          <w:rFonts w:ascii="Times New Roman" w:eastAsia="仿宋"/>
          <w:color w:val="auto"/>
          <w:sz w:val="32"/>
          <w:szCs w:val="32"/>
        </w:rPr>
        <w:t>宗地块国有建设用地使用权。现将有关事项公告如下：</w:t>
      </w:r>
    </w:p>
    <w:p>
      <w:pPr>
        <w:spacing w:line="560" w:lineRule="exact"/>
        <w:ind w:firstLine="640" w:firstLineChars="200"/>
        <w:rPr>
          <w:rFonts w:ascii="Times New Roman" w:eastAsia="楷体"/>
          <w:color w:val="auto"/>
          <w:szCs w:val="32"/>
        </w:rPr>
      </w:pPr>
      <w:r>
        <w:rPr>
          <w:rFonts w:ascii="Times New Roman" w:eastAsia="楷体"/>
          <w:color w:val="auto"/>
          <w:szCs w:val="32"/>
        </w:rPr>
        <w:t>一、宗地概况及相关要求</w:t>
      </w:r>
    </w:p>
    <w:p>
      <w:pPr>
        <w:spacing w:line="560" w:lineRule="exact"/>
        <w:ind w:firstLine="320" w:firstLineChars="100"/>
        <w:rPr>
          <w:rFonts w:ascii="Times New Roman" w:eastAsia="仿宋"/>
          <w:color w:val="auto"/>
          <w:szCs w:val="32"/>
        </w:rPr>
      </w:pPr>
      <w:r>
        <w:rPr>
          <w:rFonts w:ascii="Times New Roman" w:eastAsia="仿宋"/>
          <w:color w:val="auto"/>
          <w:szCs w:val="32"/>
        </w:rPr>
        <w:t>（一）拍卖出让地块的基本情况和规划指标等要求</w:t>
      </w:r>
    </w:p>
    <w:tbl>
      <w:tblPr>
        <w:tblStyle w:val="11"/>
        <w:tblW w:w="1460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4"/>
        <w:gridCol w:w="2001"/>
        <w:gridCol w:w="1452"/>
        <w:gridCol w:w="2688"/>
        <w:gridCol w:w="875"/>
        <w:gridCol w:w="919"/>
        <w:gridCol w:w="1236"/>
        <w:gridCol w:w="742"/>
        <w:gridCol w:w="851"/>
        <w:gridCol w:w="850"/>
        <w:gridCol w:w="993"/>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144" w:type="dxa"/>
            <w:vMerge w:val="restart"/>
            <w:vAlign w:val="center"/>
          </w:tcPr>
          <w:p>
            <w:pPr>
              <w:spacing w:line="560" w:lineRule="exact"/>
              <w:jc w:val="center"/>
              <w:rPr>
                <w:rFonts w:ascii="Times New Roman" w:eastAsia="仿宋"/>
                <w:b/>
                <w:color w:val="auto"/>
                <w:sz w:val="24"/>
                <w:szCs w:val="24"/>
              </w:rPr>
            </w:pPr>
            <w:bookmarkStart w:id="0" w:name="_Hlk102399719"/>
            <w:r>
              <w:rPr>
                <w:rFonts w:ascii="Times New Roman" w:eastAsia="仿宋"/>
                <w:b/>
                <w:color w:val="auto"/>
                <w:sz w:val="24"/>
                <w:szCs w:val="24"/>
              </w:rPr>
              <w:t>地块</w:t>
            </w:r>
          </w:p>
          <w:p>
            <w:pPr>
              <w:spacing w:line="560" w:lineRule="exact"/>
              <w:jc w:val="center"/>
              <w:rPr>
                <w:rFonts w:ascii="Times New Roman" w:eastAsia="仿宋"/>
                <w:b/>
                <w:color w:val="auto"/>
                <w:sz w:val="24"/>
                <w:szCs w:val="24"/>
              </w:rPr>
            </w:pPr>
            <w:r>
              <w:rPr>
                <w:rFonts w:ascii="Times New Roman" w:eastAsia="仿宋"/>
                <w:b/>
                <w:color w:val="auto"/>
                <w:sz w:val="24"/>
                <w:szCs w:val="24"/>
              </w:rPr>
              <w:t>编号</w:t>
            </w:r>
          </w:p>
        </w:tc>
        <w:tc>
          <w:tcPr>
            <w:tcW w:w="2001" w:type="dxa"/>
            <w:vMerge w:val="restart"/>
            <w:vAlign w:val="center"/>
          </w:tcPr>
          <w:p>
            <w:pPr>
              <w:spacing w:line="560" w:lineRule="exact"/>
              <w:jc w:val="center"/>
              <w:rPr>
                <w:rFonts w:ascii="Times New Roman" w:eastAsia="仿宋"/>
                <w:b/>
                <w:color w:val="auto"/>
                <w:sz w:val="24"/>
                <w:szCs w:val="24"/>
              </w:rPr>
            </w:pPr>
            <w:r>
              <w:rPr>
                <w:rFonts w:ascii="Times New Roman" w:eastAsia="仿宋"/>
                <w:b/>
                <w:color w:val="auto"/>
                <w:sz w:val="24"/>
                <w:szCs w:val="24"/>
              </w:rPr>
              <w:t>地块位置</w:t>
            </w:r>
          </w:p>
        </w:tc>
        <w:tc>
          <w:tcPr>
            <w:tcW w:w="1452" w:type="dxa"/>
            <w:vMerge w:val="restart"/>
            <w:vAlign w:val="center"/>
          </w:tcPr>
          <w:p>
            <w:pPr>
              <w:spacing w:line="560" w:lineRule="exact"/>
              <w:jc w:val="center"/>
              <w:rPr>
                <w:rFonts w:ascii="Times New Roman" w:eastAsia="仿宋"/>
                <w:b/>
                <w:color w:val="auto"/>
                <w:sz w:val="24"/>
                <w:szCs w:val="24"/>
              </w:rPr>
            </w:pPr>
            <w:r>
              <w:rPr>
                <w:rFonts w:ascii="Times New Roman" w:eastAsia="仿宋"/>
                <w:b/>
                <w:color w:val="auto"/>
                <w:sz w:val="24"/>
                <w:szCs w:val="24"/>
              </w:rPr>
              <w:t>土地面积</w:t>
            </w:r>
          </w:p>
        </w:tc>
        <w:tc>
          <w:tcPr>
            <w:tcW w:w="2688" w:type="dxa"/>
            <w:vMerge w:val="restart"/>
            <w:vAlign w:val="center"/>
          </w:tcPr>
          <w:p>
            <w:pPr>
              <w:spacing w:line="560" w:lineRule="exact"/>
              <w:jc w:val="center"/>
              <w:rPr>
                <w:rFonts w:ascii="Times New Roman" w:eastAsia="仿宋"/>
                <w:b/>
                <w:color w:val="auto"/>
                <w:sz w:val="24"/>
                <w:szCs w:val="24"/>
              </w:rPr>
            </w:pPr>
            <w:r>
              <w:rPr>
                <w:rFonts w:ascii="Times New Roman" w:eastAsia="仿宋"/>
                <w:b/>
                <w:color w:val="auto"/>
                <w:sz w:val="24"/>
                <w:szCs w:val="24"/>
              </w:rPr>
              <w:t>土地用途</w:t>
            </w:r>
          </w:p>
          <w:p>
            <w:pPr>
              <w:spacing w:line="560" w:lineRule="exact"/>
              <w:jc w:val="center"/>
              <w:rPr>
                <w:rFonts w:ascii="Times New Roman" w:eastAsia="仿宋"/>
                <w:b/>
                <w:color w:val="auto"/>
                <w:sz w:val="24"/>
                <w:szCs w:val="24"/>
              </w:rPr>
            </w:pPr>
            <w:r>
              <w:rPr>
                <w:rFonts w:ascii="Times New Roman" w:eastAsia="仿宋"/>
                <w:b/>
                <w:color w:val="auto"/>
                <w:sz w:val="24"/>
                <w:szCs w:val="24"/>
              </w:rPr>
              <w:t>及出让年限</w:t>
            </w:r>
          </w:p>
        </w:tc>
        <w:tc>
          <w:tcPr>
            <w:tcW w:w="3772" w:type="dxa"/>
            <w:gridSpan w:val="4"/>
            <w:vAlign w:val="center"/>
          </w:tcPr>
          <w:p>
            <w:pPr>
              <w:spacing w:line="560" w:lineRule="exact"/>
              <w:jc w:val="center"/>
              <w:rPr>
                <w:rFonts w:ascii="Times New Roman" w:eastAsia="仿宋"/>
                <w:b/>
                <w:color w:val="auto"/>
                <w:sz w:val="24"/>
                <w:szCs w:val="24"/>
              </w:rPr>
            </w:pPr>
            <w:r>
              <w:rPr>
                <w:rFonts w:ascii="Times New Roman" w:eastAsia="仿宋"/>
                <w:b/>
                <w:color w:val="auto"/>
                <w:sz w:val="24"/>
                <w:szCs w:val="24"/>
              </w:rPr>
              <w:t>规划经济技术指标</w:t>
            </w:r>
          </w:p>
        </w:tc>
        <w:tc>
          <w:tcPr>
            <w:tcW w:w="851" w:type="dxa"/>
            <w:vMerge w:val="restart"/>
            <w:vAlign w:val="center"/>
          </w:tcPr>
          <w:p>
            <w:pPr>
              <w:spacing w:line="560" w:lineRule="exact"/>
              <w:jc w:val="center"/>
              <w:rPr>
                <w:rFonts w:ascii="Times New Roman" w:eastAsia="仿宋"/>
                <w:b/>
                <w:color w:val="auto"/>
                <w:sz w:val="24"/>
                <w:szCs w:val="24"/>
              </w:rPr>
            </w:pPr>
            <w:r>
              <w:rPr>
                <w:rFonts w:ascii="Times New Roman" w:eastAsia="仿宋"/>
                <w:b/>
                <w:color w:val="auto"/>
                <w:sz w:val="24"/>
                <w:szCs w:val="24"/>
              </w:rPr>
              <w:t>供地条件</w:t>
            </w:r>
          </w:p>
        </w:tc>
        <w:tc>
          <w:tcPr>
            <w:tcW w:w="850" w:type="dxa"/>
            <w:vMerge w:val="restart"/>
            <w:vAlign w:val="center"/>
          </w:tcPr>
          <w:p>
            <w:pPr>
              <w:spacing w:line="560" w:lineRule="exact"/>
              <w:jc w:val="center"/>
              <w:rPr>
                <w:rFonts w:ascii="Times New Roman" w:eastAsia="仿宋"/>
                <w:b/>
                <w:color w:val="auto"/>
                <w:sz w:val="24"/>
                <w:szCs w:val="24"/>
              </w:rPr>
            </w:pPr>
            <w:r>
              <w:rPr>
                <w:rFonts w:ascii="Times New Roman" w:eastAsia="仿宋"/>
                <w:b/>
                <w:color w:val="auto"/>
                <w:sz w:val="24"/>
                <w:szCs w:val="24"/>
              </w:rPr>
              <w:t>出让</w:t>
            </w:r>
          </w:p>
          <w:p>
            <w:pPr>
              <w:spacing w:line="560" w:lineRule="exact"/>
              <w:jc w:val="center"/>
              <w:rPr>
                <w:rFonts w:ascii="Times New Roman" w:eastAsia="仿宋"/>
                <w:b/>
                <w:color w:val="auto"/>
                <w:sz w:val="24"/>
                <w:szCs w:val="24"/>
              </w:rPr>
            </w:pPr>
            <w:r>
              <w:rPr>
                <w:rFonts w:ascii="Times New Roman" w:eastAsia="仿宋"/>
                <w:b/>
                <w:color w:val="auto"/>
                <w:sz w:val="24"/>
                <w:szCs w:val="24"/>
              </w:rPr>
              <w:t>方式</w:t>
            </w:r>
          </w:p>
        </w:tc>
        <w:tc>
          <w:tcPr>
            <w:tcW w:w="993" w:type="dxa"/>
            <w:vMerge w:val="restart"/>
            <w:vAlign w:val="center"/>
          </w:tcPr>
          <w:p>
            <w:pPr>
              <w:spacing w:line="560" w:lineRule="exact"/>
              <w:jc w:val="center"/>
              <w:rPr>
                <w:rFonts w:ascii="Times New Roman" w:eastAsia="仿宋"/>
                <w:b/>
                <w:color w:val="auto"/>
                <w:sz w:val="24"/>
                <w:szCs w:val="24"/>
              </w:rPr>
            </w:pPr>
            <w:r>
              <w:rPr>
                <w:rFonts w:ascii="Times New Roman" w:eastAsia="仿宋"/>
                <w:b/>
                <w:color w:val="auto"/>
                <w:sz w:val="24"/>
                <w:szCs w:val="24"/>
              </w:rPr>
              <w:t>起始价</w:t>
            </w:r>
          </w:p>
        </w:tc>
        <w:tc>
          <w:tcPr>
            <w:tcW w:w="850" w:type="dxa"/>
            <w:vMerge w:val="restart"/>
            <w:vAlign w:val="center"/>
          </w:tcPr>
          <w:p>
            <w:pPr>
              <w:spacing w:line="560" w:lineRule="exact"/>
              <w:jc w:val="center"/>
              <w:rPr>
                <w:rFonts w:ascii="Times New Roman" w:eastAsia="仿宋"/>
                <w:b/>
                <w:color w:val="auto"/>
                <w:sz w:val="24"/>
                <w:szCs w:val="24"/>
              </w:rPr>
            </w:pPr>
            <w:r>
              <w:rPr>
                <w:rFonts w:ascii="Times New Roman" w:eastAsia="仿宋"/>
                <w:b/>
                <w:color w:val="auto"/>
                <w:sz w:val="24"/>
                <w:szCs w:val="24"/>
              </w:rPr>
              <w:t>竞买</w:t>
            </w:r>
          </w:p>
          <w:p>
            <w:pPr>
              <w:spacing w:line="560" w:lineRule="exact"/>
              <w:jc w:val="center"/>
              <w:rPr>
                <w:rFonts w:ascii="Times New Roman" w:eastAsia="仿宋"/>
                <w:b/>
                <w:color w:val="auto"/>
                <w:sz w:val="24"/>
                <w:szCs w:val="24"/>
              </w:rPr>
            </w:pPr>
            <w:r>
              <w:rPr>
                <w:rFonts w:ascii="Times New Roman" w:eastAsia="仿宋"/>
                <w:b/>
                <w:color w:val="auto"/>
                <w:sz w:val="24"/>
                <w:szCs w:val="24"/>
              </w:rPr>
              <w:t>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1144" w:type="dxa"/>
            <w:vMerge w:val="continue"/>
            <w:vAlign w:val="center"/>
          </w:tcPr>
          <w:p>
            <w:pPr>
              <w:spacing w:line="560" w:lineRule="exact"/>
              <w:jc w:val="center"/>
              <w:rPr>
                <w:rFonts w:ascii="Times New Roman" w:eastAsia="仿宋"/>
                <w:color w:val="auto"/>
                <w:szCs w:val="32"/>
              </w:rPr>
            </w:pPr>
          </w:p>
        </w:tc>
        <w:tc>
          <w:tcPr>
            <w:tcW w:w="2001" w:type="dxa"/>
            <w:vMerge w:val="continue"/>
            <w:vAlign w:val="center"/>
          </w:tcPr>
          <w:p>
            <w:pPr>
              <w:spacing w:line="560" w:lineRule="exact"/>
              <w:jc w:val="center"/>
              <w:rPr>
                <w:rFonts w:ascii="Times New Roman" w:eastAsia="仿宋"/>
                <w:color w:val="auto"/>
                <w:szCs w:val="32"/>
              </w:rPr>
            </w:pPr>
          </w:p>
        </w:tc>
        <w:tc>
          <w:tcPr>
            <w:tcW w:w="1452" w:type="dxa"/>
            <w:vMerge w:val="continue"/>
            <w:vAlign w:val="center"/>
          </w:tcPr>
          <w:p>
            <w:pPr>
              <w:spacing w:line="560" w:lineRule="exact"/>
              <w:jc w:val="center"/>
              <w:rPr>
                <w:rFonts w:ascii="Times New Roman" w:eastAsia="仿宋"/>
                <w:color w:val="auto"/>
                <w:szCs w:val="32"/>
              </w:rPr>
            </w:pPr>
          </w:p>
        </w:tc>
        <w:tc>
          <w:tcPr>
            <w:tcW w:w="2688" w:type="dxa"/>
            <w:vMerge w:val="continue"/>
            <w:vAlign w:val="center"/>
          </w:tcPr>
          <w:p>
            <w:pPr>
              <w:spacing w:line="560" w:lineRule="exact"/>
              <w:jc w:val="center"/>
              <w:rPr>
                <w:rFonts w:ascii="Times New Roman" w:eastAsia="仿宋"/>
                <w:color w:val="auto"/>
                <w:szCs w:val="32"/>
              </w:rPr>
            </w:pPr>
          </w:p>
        </w:tc>
        <w:tc>
          <w:tcPr>
            <w:tcW w:w="875" w:type="dxa"/>
            <w:vAlign w:val="center"/>
          </w:tcPr>
          <w:p>
            <w:pPr>
              <w:spacing w:line="560" w:lineRule="exact"/>
              <w:jc w:val="center"/>
              <w:rPr>
                <w:rFonts w:ascii="Times New Roman" w:eastAsia="仿宋"/>
                <w:b/>
                <w:color w:val="auto"/>
                <w:sz w:val="24"/>
                <w:szCs w:val="24"/>
              </w:rPr>
            </w:pPr>
            <w:r>
              <w:rPr>
                <w:rFonts w:ascii="Times New Roman" w:eastAsia="仿宋"/>
                <w:b/>
                <w:color w:val="auto"/>
                <w:sz w:val="24"/>
                <w:szCs w:val="24"/>
              </w:rPr>
              <w:t>建筑密度</w:t>
            </w:r>
          </w:p>
        </w:tc>
        <w:tc>
          <w:tcPr>
            <w:tcW w:w="919" w:type="dxa"/>
            <w:vAlign w:val="center"/>
          </w:tcPr>
          <w:p>
            <w:pPr>
              <w:spacing w:line="560" w:lineRule="exact"/>
              <w:jc w:val="center"/>
              <w:rPr>
                <w:rFonts w:ascii="Times New Roman" w:eastAsia="仿宋"/>
                <w:b/>
                <w:color w:val="auto"/>
                <w:sz w:val="24"/>
                <w:szCs w:val="24"/>
              </w:rPr>
            </w:pPr>
            <w:r>
              <w:rPr>
                <w:rFonts w:ascii="Times New Roman" w:eastAsia="仿宋"/>
                <w:b/>
                <w:color w:val="auto"/>
                <w:sz w:val="24"/>
                <w:szCs w:val="24"/>
              </w:rPr>
              <w:t>容积率</w:t>
            </w:r>
          </w:p>
        </w:tc>
        <w:tc>
          <w:tcPr>
            <w:tcW w:w="1236" w:type="dxa"/>
            <w:vAlign w:val="center"/>
          </w:tcPr>
          <w:p>
            <w:pPr>
              <w:spacing w:line="560" w:lineRule="exact"/>
              <w:jc w:val="center"/>
              <w:rPr>
                <w:rFonts w:ascii="Times New Roman" w:eastAsia="仿宋"/>
                <w:b/>
                <w:color w:val="auto"/>
                <w:sz w:val="24"/>
                <w:szCs w:val="24"/>
              </w:rPr>
            </w:pPr>
            <w:r>
              <w:rPr>
                <w:rFonts w:ascii="Times New Roman" w:eastAsia="仿宋"/>
                <w:b/>
                <w:color w:val="auto"/>
                <w:sz w:val="24"/>
                <w:szCs w:val="24"/>
              </w:rPr>
              <w:t>建筑高度</w:t>
            </w:r>
          </w:p>
        </w:tc>
        <w:tc>
          <w:tcPr>
            <w:tcW w:w="742" w:type="dxa"/>
            <w:vAlign w:val="center"/>
          </w:tcPr>
          <w:p>
            <w:pPr>
              <w:spacing w:line="560" w:lineRule="exact"/>
              <w:jc w:val="center"/>
              <w:rPr>
                <w:rFonts w:ascii="Times New Roman" w:eastAsia="仿宋"/>
                <w:b/>
                <w:color w:val="auto"/>
                <w:sz w:val="24"/>
                <w:szCs w:val="24"/>
              </w:rPr>
            </w:pPr>
            <w:r>
              <w:rPr>
                <w:rFonts w:ascii="Times New Roman" w:eastAsia="仿宋"/>
                <w:b/>
                <w:color w:val="auto"/>
                <w:sz w:val="24"/>
                <w:szCs w:val="24"/>
              </w:rPr>
              <w:t>绿地率</w:t>
            </w:r>
          </w:p>
        </w:tc>
        <w:tc>
          <w:tcPr>
            <w:tcW w:w="851" w:type="dxa"/>
            <w:vMerge w:val="continue"/>
            <w:vAlign w:val="center"/>
          </w:tcPr>
          <w:p>
            <w:pPr>
              <w:spacing w:line="560" w:lineRule="exact"/>
              <w:jc w:val="center"/>
              <w:rPr>
                <w:rFonts w:ascii="Times New Roman" w:eastAsia="仿宋"/>
                <w:color w:val="auto"/>
                <w:szCs w:val="32"/>
              </w:rPr>
            </w:pPr>
          </w:p>
        </w:tc>
        <w:tc>
          <w:tcPr>
            <w:tcW w:w="850" w:type="dxa"/>
            <w:vMerge w:val="continue"/>
            <w:vAlign w:val="center"/>
          </w:tcPr>
          <w:p>
            <w:pPr>
              <w:spacing w:line="560" w:lineRule="exact"/>
              <w:jc w:val="center"/>
              <w:rPr>
                <w:rFonts w:ascii="Times New Roman" w:eastAsia="仿宋"/>
                <w:color w:val="auto"/>
                <w:szCs w:val="32"/>
              </w:rPr>
            </w:pPr>
          </w:p>
        </w:tc>
        <w:tc>
          <w:tcPr>
            <w:tcW w:w="993" w:type="dxa"/>
            <w:vMerge w:val="continue"/>
            <w:vAlign w:val="center"/>
          </w:tcPr>
          <w:p>
            <w:pPr>
              <w:spacing w:line="560" w:lineRule="exact"/>
              <w:jc w:val="center"/>
              <w:rPr>
                <w:rFonts w:ascii="Times New Roman" w:eastAsia="仿宋"/>
                <w:color w:val="auto"/>
                <w:szCs w:val="32"/>
              </w:rPr>
            </w:pPr>
          </w:p>
        </w:tc>
        <w:tc>
          <w:tcPr>
            <w:tcW w:w="850" w:type="dxa"/>
            <w:vMerge w:val="continue"/>
            <w:vAlign w:val="center"/>
          </w:tcPr>
          <w:p>
            <w:pPr>
              <w:spacing w:line="560" w:lineRule="exact"/>
              <w:jc w:val="center"/>
              <w:rPr>
                <w:rFonts w:ascii="Times New Roman" w:eastAsia="仿宋"/>
                <w:color w:val="auto"/>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41" w:hRule="exact"/>
        </w:trPr>
        <w:tc>
          <w:tcPr>
            <w:tcW w:w="1144" w:type="dxa"/>
            <w:vAlign w:val="center"/>
          </w:tcPr>
          <w:p>
            <w:pPr>
              <w:spacing w:line="560" w:lineRule="exact"/>
              <w:jc w:val="center"/>
              <w:rPr>
                <w:rFonts w:ascii="Times New Roman" w:eastAsia="仿宋"/>
                <w:color w:val="auto"/>
                <w:sz w:val="24"/>
                <w:szCs w:val="24"/>
              </w:rPr>
            </w:pPr>
            <w:r>
              <w:rPr>
                <w:rFonts w:ascii="Times New Roman" w:eastAsia="仿宋"/>
                <w:color w:val="auto"/>
                <w:sz w:val="24"/>
                <w:szCs w:val="24"/>
              </w:rPr>
              <w:t>丰</w:t>
            </w:r>
            <w:r>
              <w:rPr>
                <w:rFonts w:hint="eastAsia" w:ascii="Times New Roman" w:eastAsia="仿宋"/>
                <w:color w:val="auto"/>
                <w:sz w:val="24"/>
                <w:szCs w:val="24"/>
                <w:lang w:val="en-US" w:eastAsia="zh-CN"/>
              </w:rPr>
              <w:t>2026-1</w:t>
            </w:r>
            <w:r>
              <w:rPr>
                <w:rFonts w:ascii="Times New Roman" w:eastAsia="仿宋"/>
                <w:color w:val="auto"/>
                <w:sz w:val="24"/>
                <w:szCs w:val="24"/>
              </w:rPr>
              <w:t>号地块</w:t>
            </w:r>
          </w:p>
        </w:tc>
        <w:tc>
          <w:tcPr>
            <w:tcW w:w="2001" w:type="dxa"/>
            <w:vAlign w:val="center"/>
          </w:tcPr>
          <w:p>
            <w:pPr>
              <w:spacing w:line="560" w:lineRule="exact"/>
              <w:jc w:val="center"/>
              <w:rPr>
                <w:rFonts w:ascii="Times New Roman" w:eastAsia="仿宋"/>
                <w:color w:val="auto"/>
                <w:sz w:val="24"/>
                <w:szCs w:val="24"/>
              </w:rPr>
            </w:pPr>
            <w:r>
              <w:rPr>
                <w:rFonts w:hint="eastAsia" w:ascii="Times New Roman" w:eastAsia="仿宋"/>
                <w:color w:val="auto"/>
                <w:sz w:val="24"/>
                <w:szCs w:val="24"/>
              </w:rPr>
              <w:t>中央活力区二期经十四路东侧、大兴街南侧</w:t>
            </w:r>
          </w:p>
        </w:tc>
        <w:tc>
          <w:tcPr>
            <w:tcW w:w="1452" w:type="dxa"/>
            <w:vAlign w:val="center"/>
          </w:tcPr>
          <w:p>
            <w:pPr>
              <w:spacing w:line="560" w:lineRule="exact"/>
              <w:jc w:val="center"/>
              <w:rPr>
                <w:rFonts w:ascii="Times New Roman" w:eastAsia="仿宋"/>
                <w:color w:val="auto"/>
                <w:sz w:val="24"/>
                <w:szCs w:val="24"/>
              </w:rPr>
            </w:pPr>
            <w:r>
              <w:rPr>
                <w:rFonts w:hint="eastAsia" w:ascii="Times New Roman" w:eastAsia="仿宋"/>
                <w:color w:val="auto"/>
                <w:sz w:val="24"/>
                <w:szCs w:val="24"/>
              </w:rPr>
              <w:t>24026平方米（约36亩）</w:t>
            </w:r>
          </w:p>
        </w:tc>
        <w:tc>
          <w:tcPr>
            <w:tcW w:w="2688" w:type="dxa"/>
            <w:vAlign w:val="center"/>
          </w:tcPr>
          <w:p>
            <w:pPr>
              <w:spacing w:line="560" w:lineRule="exact"/>
              <w:jc w:val="left"/>
              <w:rPr>
                <w:rFonts w:ascii="Times New Roman" w:eastAsia="仿宋"/>
                <w:color w:val="auto"/>
                <w:sz w:val="24"/>
                <w:szCs w:val="24"/>
              </w:rPr>
            </w:pPr>
            <w:r>
              <w:rPr>
                <w:rFonts w:hint="eastAsia" w:ascii="Times New Roman" w:eastAsia="仿宋"/>
                <w:color w:val="auto"/>
                <w:sz w:val="24"/>
                <w:szCs w:val="24"/>
              </w:rPr>
              <w:t>居住—城镇住宅（二类城镇住宅）、城镇社区服务设施70年</w:t>
            </w:r>
          </w:p>
        </w:tc>
        <w:tc>
          <w:tcPr>
            <w:tcW w:w="875" w:type="dxa"/>
            <w:vAlign w:val="center"/>
          </w:tcPr>
          <w:p>
            <w:pPr>
              <w:spacing w:line="560" w:lineRule="exact"/>
              <w:jc w:val="center"/>
              <w:rPr>
                <w:rFonts w:ascii="Times New Roman" w:eastAsia="仿宋"/>
                <w:color w:val="auto"/>
                <w:sz w:val="24"/>
                <w:szCs w:val="24"/>
              </w:rPr>
            </w:pPr>
            <w:r>
              <w:rPr>
                <w:rFonts w:hint="eastAsia" w:ascii="Times New Roman" w:eastAsia="仿宋"/>
                <w:color w:val="auto"/>
                <w:sz w:val="24"/>
                <w:szCs w:val="24"/>
              </w:rPr>
              <w:t>30%以下</w:t>
            </w:r>
          </w:p>
        </w:tc>
        <w:tc>
          <w:tcPr>
            <w:tcW w:w="919" w:type="dxa"/>
            <w:vAlign w:val="center"/>
          </w:tcPr>
          <w:p>
            <w:pPr>
              <w:spacing w:line="560" w:lineRule="exact"/>
              <w:jc w:val="center"/>
              <w:rPr>
                <w:rFonts w:ascii="Times New Roman" w:eastAsia="仿宋"/>
                <w:color w:val="auto"/>
                <w:sz w:val="24"/>
                <w:szCs w:val="24"/>
              </w:rPr>
            </w:pPr>
            <w:r>
              <w:rPr>
                <w:rFonts w:hint="eastAsia" w:ascii="Times New Roman" w:eastAsia="仿宋"/>
                <w:color w:val="auto"/>
                <w:sz w:val="24"/>
                <w:szCs w:val="24"/>
              </w:rPr>
              <w:t>2.5以下1.0以上</w:t>
            </w:r>
          </w:p>
        </w:tc>
        <w:tc>
          <w:tcPr>
            <w:tcW w:w="1236" w:type="dxa"/>
            <w:vAlign w:val="center"/>
          </w:tcPr>
          <w:p>
            <w:pPr>
              <w:spacing w:line="560" w:lineRule="exact"/>
              <w:jc w:val="left"/>
              <w:rPr>
                <w:rFonts w:ascii="Times New Roman" w:eastAsia="仿宋"/>
                <w:color w:val="auto"/>
                <w:sz w:val="24"/>
                <w:szCs w:val="24"/>
              </w:rPr>
            </w:pPr>
            <w:r>
              <w:rPr>
                <w:rFonts w:hint="eastAsia" w:ascii="Times New Roman" w:eastAsia="仿宋"/>
                <w:color w:val="auto"/>
                <w:sz w:val="24"/>
                <w:szCs w:val="24"/>
              </w:rPr>
              <w:t>8</w:t>
            </w:r>
            <w:r>
              <w:rPr>
                <w:rFonts w:ascii="Times New Roman" w:eastAsia="仿宋"/>
                <w:color w:val="auto"/>
                <w:sz w:val="24"/>
                <w:szCs w:val="24"/>
                <w:lang w:val="en"/>
              </w:rPr>
              <w:t>0</w:t>
            </w:r>
            <w:r>
              <w:rPr>
                <w:rFonts w:hint="eastAsia" w:ascii="Times New Roman" w:eastAsia="仿宋"/>
                <w:color w:val="auto"/>
                <w:sz w:val="24"/>
                <w:szCs w:val="24"/>
              </w:rPr>
              <w:t>米以下</w:t>
            </w:r>
          </w:p>
        </w:tc>
        <w:tc>
          <w:tcPr>
            <w:tcW w:w="742" w:type="dxa"/>
            <w:vAlign w:val="center"/>
          </w:tcPr>
          <w:p>
            <w:pPr>
              <w:spacing w:line="560" w:lineRule="exact"/>
              <w:jc w:val="center"/>
              <w:rPr>
                <w:rFonts w:ascii="Times New Roman" w:eastAsia="仿宋"/>
                <w:color w:val="auto"/>
                <w:sz w:val="24"/>
                <w:szCs w:val="24"/>
              </w:rPr>
            </w:pPr>
            <w:r>
              <w:rPr>
                <w:rFonts w:hint="eastAsia" w:ascii="Times New Roman" w:eastAsia="仿宋"/>
                <w:color w:val="auto"/>
                <w:sz w:val="24"/>
                <w:szCs w:val="24"/>
                <w:lang w:val="en-US" w:eastAsia="zh-CN"/>
              </w:rPr>
              <w:t>3</w:t>
            </w:r>
            <w:r>
              <w:rPr>
                <w:rFonts w:hint="eastAsia" w:ascii="Times New Roman" w:eastAsia="仿宋"/>
                <w:color w:val="auto"/>
                <w:sz w:val="24"/>
                <w:szCs w:val="24"/>
              </w:rPr>
              <w:t>0%以上</w:t>
            </w:r>
          </w:p>
        </w:tc>
        <w:tc>
          <w:tcPr>
            <w:tcW w:w="851" w:type="dxa"/>
            <w:vAlign w:val="center"/>
          </w:tcPr>
          <w:p>
            <w:pPr>
              <w:spacing w:line="560" w:lineRule="exact"/>
              <w:jc w:val="center"/>
              <w:rPr>
                <w:rFonts w:ascii="Times New Roman" w:eastAsia="仿宋"/>
                <w:color w:val="auto"/>
                <w:sz w:val="24"/>
                <w:szCs w:val="24"/>
              </w:rPr>
            </w:pPr>
            <w:r>
              <w:rPr>
                <w:rFonts w:hint="eastAsia" w:ascii="Times New Roman" w:eastAsia="仿宋"/>
                <w:color w:val="auto"/>
                <w:sz w:val="24"/>
                <w:szCs w:val="24"/>
              </w:rPr>
              <w:t>现状</w:t>
            </w:r>
          </w:p>
        </w:tc>
        <w:tc>
          <w:tcPr>
            <w:tcW w:w="850" w:type="dxa"/>
            <w:vAlign w:val="center"/>
          </w:tcPr>
          <w:p>
            <w:pPr>
              <w:spacing w:line="560" w:lineRule="exact"/>
              <w:jc w:val="center"/>
              <w:rPr>
                <w:rFonts w:ascii="Times New Roman" w:eastAsia="仿宋"/>
                <w:color w:val="auto"/>
                <w:sz w:val="24"/>
                <w:szCs w:val="24"/>
              </w:rPr>
            </w:pPr>
            <w:r>
              <w:rPr>
                <w:rFonts w:hint="eastAsia" w:ascii="Times New Roman" w:eastAsia="仿宋"/>
                <w:color w:val="auto"/>
                <w:sz w:val="24"/>
                <w:szCs w:val="24"/>
              </w:rPr>
              <w:t>拍卖</w:t>
            </w:r>
          </w:p>
        </w:tc>
        <w:tc>
          <w:tcPr>
            <w:tcW w:w="993" w:type="dxa"/>
            <w:vAlign w:val="center"/>
          </w:tcPr>
          <w:p>
            <w:pPr>
              <w:spacing w:line="560" w:lineRule="exact"/>
              <w:jc w:val="center"/>
              <w:rPr>
                <w:rFonts w:ascii="Times New Roman" w:eastAsia="仿宋"/>
                <w:color w:val="auto"/>
                <w:sz w:val="24"/>
                <w:szCs w:val="24"/>
              </w:rPr>
            </w:pPr>
            <w:r>
              <w:rPr>
                <w:rFonts w:hint="eastAsia" w:ascii="Times New Roman" w:eastAsia="仿宋"/>
                <w:color w:val="auto"/>
                <w:sz w:val="24"/>
                <w:szCs w:val="24"/>
                <w:lang w:val="en-US" w:eastAsia="zh-CN"/>
              </w:rPr>
              <w:t>45600</w:t>
            </w:r>
            <w:r>
              <w:rPr>
                <w:rFonts w:hint="eastAsia" w:ascii="Times New Roman" w:eastAsia="仿宋"/>
                <w:color w:val="auto"/>
                <w:sz w:val="24"/>
                <w:szCs w:val="24"/>
              </w:rPr>
              <w:t>万元</w:t>
            </w:r>
          </w:p>
        </w:tc>
        <w:tc>
          <w:tcPr>
            <w:tcW w:w="850" w:type="dxa"/>
            <w:vAlign w:val="center"/>
          </w:tcPr>
          <w:p>
            <w:pPr>
              <w:spacing w:line="560" w:lineRule="exact"/>
              <w:jc w:val="center"/>
              <w:rPr>
                <w:rFonts w:ascii="Times New Roman" w:eastAsia="仿宋"/>
                <w:color w:val="auto"/>
                <w:sz w:val="24"/>
                <w:szCs w:val="24"/>
              </w:rPr>
            </w:pPr>
            <w:r>
              <w:rPr>
                <w:rFonts w:hint="eastAsia" w:ascii="Times New Roman" w:eastAsia="仿宋"/>
                <w:color w:val="auto"/>
                <w:sz w:val="24"/>
                <w:szCs w:val="24"/>
                <w:lang w:val="en-US" w:eastAsia="zh-CN"/>
              </w:rPr>
              <w:t>9120</w:t>
            </w:r>
            <w:r>
              <w:rPr>
                <w:rFonts w:hint="eastAsia" w:ascii="Times New Roman" w:eastAsia="仿宋"/>
                <w:color w:val="auto"/>
                <w:sz w:val="24"/>
                <w:szCs w:val="24"/>
              </w:rPr>
              <w:t>万元</w:t>
            </w:r>
          </w:p>
        </w:tc>
      </w:tr>
      <w:bookmarkEnd w:id="0"/>
    </w:tbl>
    <w:p>
      <w:pPr>
        <w:widowControl/>
        <w:spacing w:line="560" w:lineRule="exact"/>
        <w:ind w:firstLine="640" w:firstLineChars="200"/>
        <w:rPr>
          <w:rFonts w:ascii="Times New Roman"/>
          <w:color w:val="auto"/>
          <w:szCs w:val="32"/>
        </w:rPr>
      </w:pPr>
      <w:r>
        <w:rPr>
          <w:rFonts w:ascii="Times New Roman"/>
          <w:color w:val="auto"/>
          <w:szCs w:val="32"/>
        </w:rPr>
        <w:t>（二）相关要求说明</w:t>
      </w:r>
    </w:p>
    <w:p>
      <w:pPr>
        <w:widowControl/>
        <w:spacing w:line="560" w:lineRule="exact"/>
        <w:ind w:firstLine="640" w:firstLineChars="200"/>
        <w:rPr>
          <w:rFonts w:hint="eastAsia" w:ascii="Times New Roman" w:eastAsia="仿宋"/>
          <w:color w:val="auto"/>
          <w:szCs w:val="32"/>
        </w:rPr>
      </w:pPr>
      <w:r>
        <w:rPr>
          <w:rFonts w:hint="eastAsia" w:ascii="Times New Roman" w:eastAsia="仿宋"/>
          <w:color w:val="auto"/>
          <w:szCs w:val="32"/>
        </w:rPr>
        <w:t>1.上述地块竞买申请人须具有房地产开发资质。</w:t>
      </w:r>
    </w:p>
    <w:p>
      <w:pPr>
        <w:widowControl/>
        <w:spacing w:line="560" w:lineRule="exact"/>
        <w:ind w:firstLine="640" w:firstLineChars="200"/>
        <w:rPr>
          <w:rFonts w:hint="eastAsia" w:ascii="Times New Roman" w:eastAsia="仿宋"/>
          <w:color w:val="auto"/>
          <w:szCs w:val="32"/>
        </w:rPr>
      </w:pPr>
      <w:r>
        <w:rPr>
          <w:rFonts w:hint="eastAsia" w:ascii="Times New Roman" w:eastAsia="仿宋"/>
          <w:color w:val="auto"/>
          <w:szCs w:val="32"/>
        </w:rPr>
        <w:t>2.丰2026-1号地块竞得人须按有关规范要求配套建设相应的公共配套服务设施，包括：社区管理服务站、居家养老服务点等设施[具体规划要求详见《泉州市自然资源和规划局关于下达2024-3号储备用地规划条件的通知》（泉资规〔2026〕151号）]，且上述公共配套服务设施应相对集中布置在交通便利、方便群众使用的地方，与项目主体建筑同时设计、同时建设，否则住建部门不予核发预售证，建成后无偿将产权、使用权移交给政府指定的有权机构。</w:t>
      </w:r>
    </w:p>
    <w:p>
      <w:pPr>
        <w:widowControl/>
        <w:spacing w:line="560" w:lineRule="exact"/>
        <w:ind w:firstLine="640" w:firstLineChars="200"/>
        <w:rPr>
          <w:rFonts w:hint="eastAsia" w:ascii="Times New Roman" w:eastAsia="仿宋"/>
          <w:color w:val="auto"/>
          <w:szCs w:val="32"/>
        </w:rPr>
      </w:pPr>
      <w:r>
        <w:rPr>
          <w:rFonts w:hint="eastAsia" w:ascii="Times New Roman" w:eastAsia="仿宋"/>
          <w:color w:val="auto"/>
          <w:szCs w:val="32"/>
          <w:lang w:val="en-US" w:eastAsia="zh-CN"/>
        </w:rPr>
        <w:t>3</w:t>
      </w:r>
      <w:r>
        <w:rPr>
          <w:rFonts w:hint="eastAsia" w:ascii="Times New Roman" w:eastAsia="仿宋"/>
          <w:color w:val="auto"/>
          <w:szCs w:val="32"/>
        </w:rPr>
        <w:t>.上述地块不设住宅最高销售限价，由竞得企业根据市场情况自主定价，该项目商品房上市销售时，应执行国家及地方房地产有关政策，接受相关主管部门的指导和监督。</w:t>
      </w:r>
    </w:p>
    <w:p>
      <w:pPr>
        <w:widowControl/>
        <w:spacing w:line="560" w:lineRule="exact"/>
        <w:ind w:firstLine="640" w:firstLineChars="200"/>
        <w:rPr>
          <w:rFonts w:hint="eastAsia" w:ascii="Times New Roman" w:eastAsia="仿宋"/>
          <w:color w:val="auto"/>
          <w:szCs w:val="32"/>
        </w:rPr>
      </w:pPr>
      <w:r>
        <w:rPr>
          <w:rFonts w:hint="eastAsia" w:ascii="Times New Roman" w:eastAsia="仿宋"/>
          <w:color w:val="auto"/>
          <w:szCs w:val="32"/>
          <w:lang w:val="en-US" w:eastAsia="zh-CN"/>
        </w:rPr>
        <w:t>4</w:t>
      </w:r>
      <w:r>
        <w:rPr>
          <w:rFonts w:hint="eastAsia" w:ascii="Times New Roman" w:eastAsia="仿宋"/>
          <w:color w:val="auto"/>
          <w:szCs w:val="32"/>
        </w:rPr>
        <w:t>.上述地块竞买人提交竞买申请书时应同时提交竞买保证金，以及如竞得该地块，所缴纳的土地出让金均属于自有资金且不属于股东违规提供的借款、转贷、担保或其他融资便利，不是直接或间接使用金融机构各类融资资金，不是使用房地产产业链上下游关联企业借款或预付款，不是使用其他自然人、法人、非法人组织的借款，不是使用参与竞买企业控制的非房地产企业融资等事项的承诺书及《商品住宅用地竞买保证金/成交价款来源情况申报表》，并主动配合出让人及组织方进行资金审查。若竞买人资金来源未通过审查的，同意出让人或组织方取消竞买资格，已交纳的竞买保证金不予退还；若竞买人已签订《国有建设用地使用权出让合同》，则《国有建设用地使用权出让合同》一并解除，已缴纳的土地出让价款不予退还。</w:t>
      </w:r>
    </w:p>
    <w:p>
      <w:pPr>
        <w:widowControl/>
        <w:spacing w:line="560" w:lineRule="exact"/>
        <w:ind w:firstLine="640" w:firstLineChars="200"/>
        <w:rPr>
          <w:rFonts w:hint="eastAsia" w:ascii="Times New Roman" w:eastAsia="仿宋"/>
          <w:color w:val="auto"/>
          <w:szCs w:val="32"/>
        </w:rPr>
      </w:pPr>
      <w:r>
        <w:rPr>
          <w:rFonts w:hint="eastAsia" w:ascii="Times New Roman" w:eastAsia="仿宋"/>
          <w:color w:val="auto"/>
          <w:szCs w:val="32"/>
          <w:lang w:val="en-US" w:eastAsia="zh-CN"/>
        </w:rPr>
        <w:t>5</w:t>
      </w:r>
      <w:r>
        <w:rPr>
          <w:rFonts w:hint="eastAsia" w:ascii="Times New Roman" w:eastAsia="仿宋"/>
          <w:color w:val="auto"/>
          <w:szCs w:val="32"/>
        </w:rPr>
        <w:t>.按照《泉州市住房和城乡建设局等4部门关于规范住宅小区电动汽车充电设施建设管理的通知》（泉建规〔2023〕3号）要求，严格落实新建住宅小区固定车位100%建设充电设施或预留安装条件，预留安装条件时需将管线（含低压电缆、电缆分支箱、计量表箱）和桥架等供电设施建设到车位，以满足直接装表接电需求。根据《泉州市人民政府办公室关于印发泉州市电动自行车安全隐患全链条整治行动实施方案的通知》（泉政办〔2024〕17号）要求，严格新建居住项目规划审批管理，上述地块应将电动自行车停放充电设施纳入项目配套。</w:t>
      </w:r>
    </w:p>
    <w:p>
      <w:pPr>
        <w:widowControl/>
        <w:spacing w:line="560" w:lineRule="exact"/>
        <w:ind w:firstLine="640" w:firstLineChars="200"/>
        <w:rPr>
          <w:rFonts w:hint="eastAsia" w:ascii="Times New Roman" w:eastAsia="仿宋"/>
          <w:color w:val="auto"/>
          <w:szCs w:val="32"/>
        </w:rPr>
      </w:pPr>
      <w:r>
        <w:rPr>
          <w:rFonts w:hint="eastAsia" w:ascii="Times New Roman" w:eastAsia="仿宋"/>
          <w:color w:val="auto"/>
          <w:szCs w:val="32"/>
          <w:lang w:val="en-US" w:eastAsia="zh-CN"/>
        </w:rPr>
        <w:t>6</w:t>
      </w:r>
      <w:r>
        <w:rPr>
          <w:rFonts w:hint="eastAsia" w:ascii="Times New Roman" w:eastAsia="仿宋"/>
          <w:color w:val="auto"/>
          <w:szCs w:val="32"/>
        </w:rPr>
        <w:t>.上述地块的装配式建筑应占新建建筑面积40%以上。</w:t>
      </w:r>
    </w:p>
    <w:p>
      <w:pPr>
        <w:widowControl/>
        <w:spacing w:line="560" w:lineRule="exact"/>
        <w:ind w:firstLine="640" w:firstLineChars="200"/>
        <w:rPr>
          <w:rFonts w:hint="eastAsia" w:ascii="Times New Roman" w:eastAsia="仿宋"/>
          <w:color w:val="auto"/>
          <w:szCs w:val="32"/>
        </w:rPr>
      </w:pPr>
      <w:r>
        <w:rPr>
          <w:rFonts w:hint="eastAsia" w:ascii="Times New Roman" w:eastAsia="仿宋"/>
          <w:color w:val="auto"/>
          <w:szCs w:val="32"/>
          <w:lang w:val="en-US" w:eastAsia="zh-CN"/>
        </w:rPr>
        <w:t>7</w:t>
      </w:r>
      <w:r>
        <w:rPr>
          <w:rFonts w:hint="eastAsia" w:ascii="Times New Roman" w:eastAsia="仿宋"/>
          <w:color w:val="auto"/>
          <w:szCs w:val="32"/>
        </w:rPr>
        <w:t>.按照《泉州市人民政府关于印发泉州市促进房地产市场持续健康稳定发展若干意见（2018—2025年）的通知》（泉政文〔2018〕87号）要求，上述地块的建筑单体质量要求达到泉州市优质工程及以上。</w:t>
      </w:r>
    </w:p>
    <w:p>
      <w:pPr>
        <w:widowControl/>
        <w:spacing w:line="560" w:lineRule="exact"/>
        <w:ind w:firstLine="640" w:firstLineChars="200"/>
        <w:rPr>
          <w:rFonts w:hint="eastAsia" w:ascii="Times New Roman" w:eastAsia="仿宋"/>
          <w:color w:val="auto"/>
          <w:szCs w:val="32"/>
        </w:rPr>
      </w:pPr>
      <w:r>
        <w:rPr>
          <w:rFonts w:hint="eastAsia" w:ascii="Times New Roman" w:eastAsia="仿宋"/>
          <w:color w:val="auto"/>
          <w:szCs w:val="32"/>
          <w:lang w:val="en-US" w:eastAsia="zh-CN"/>
        </w:rPr>
        <w:t>8</w:t>
      </w:r>
      <w:r>
        <w:rPr>
          <w:rFonts w:hint="eastAsia" w:ascii="Times New Roman" w:eastAsia="仿宋"/>
          <w:color w:val="auto"/>
          <w:szCs w:val="32"/>
        </w:rPr>
        <w:t>.按照《泉州市人民政府办公室转发泉州市住房和城乡建设局 泉州市自然资源和规划局关于加强新建商品住宅及商办类建筑建设管理的通知》（泉政办明传〔2021〕75号）要求，上述地块开发建设应符合《新建商品住宅建设品质提升事项》。</w:t>
      </w:r>
    </w:p>
    <w:p>
      <w:pPr>
        <w:widowControl/>
        <w:spacing w:line="560" w:lineRule="exact"/>
        <w:ind w:firstLine="640" w:firstLineChars="200"/>
        <w:rPr>
          <w:rFonts w:ascii="Times New Roman" w:eastAsia="楷体"/>
          <w:color w:val="auto"/>
          <w:szCs w:val="32"/>
        </w:rPr>
      </w:pPr>
      <w:r>
        <w:rPr>
          <w:rFonts w:ascii="Times New Roman" w:eastAsia="楷体"/>
          <w:color w:val="auto"/>
          <w:szCs w:val="32"/>
        </w:rPr>
        <w:t>二、竞买人资格</w:t>
      </w:r>
    </w:p>
    <w:p>
      <w:pPr>
        <w:widowControl/>
        <w:spacing w:line="560" w:lineRule="exact"/>
        <w:ind w:firstLine="640" w:firstLineChars="200"/>
        <w:rPr>
          <w:rFonts w:ascii="Times New Roman" w:eastAsia="仿宋"/>
          <w:color w:val="FF0000"/>
          <w:szCs w:val="32"/>
        </w:rPr>
      </w:pPr>
      <w:bookmarkStart w:id="1" w:name="_Hlk25847111"/>
      <w:r>
        <w:rPr>
          <w:rFonts w:ascii="Times New Roman" w:eastAsia="仿宋"/>
          <w:color w:val="auto"/>
          <w:szCs w:val="32"/>
        </w:rPr>
        <w:t>中华人民共和国境内外的法人和其他组织，符合竞买申请人条件的，除欠缴土地出让金者、已在本市取得合法土地未按规定开发建设者，列入福建省恶意逃废债务失信行为人“黑名单”的企业、全国法院失信被执行人（包括</w:t>
      </w:r>
      <w:r>
        <w:rPr>
          <w:rFonts w:hint="eastAsia" w:ascii="Times New Roman" w:eastAsia="仿宋"/>
          <w:color w:val="auto"/>
          <w:szCs w:val="32"/>
        </w:rPr>
        <w:t>自然人、</w:t>
      </w:r>
      <w:r>
        <w:rPr>
          <w:rFonts w:ascii="Times New Roman" w:eastAsia="仿宋"/>
          <w:color w:val="auto"/>
          <w:szCs w:val="32"/>
        </w:rPr>
        <w:t>法人或其他组织）以及法律法规另有规定外，均可申请参加竞买。</w:t>
      </w:r>
      <w:bookmarkEnd w:id="1"/>
      <w:r>
        <w:rPr>
          <w:rFonts w:ascii="Times New Roman" w:eastAsia="仿宋"/>
          <w:color w:val="auto"/>
          <w:szCs w:val="32"/>
        </w:rPr>
        <w:t>竞买申请人应当单独申请。</w:t>
      </w:r>
    </w:p>
    <w:p>
      <w:pPr>
        <w:widowControl/>
        <w:spacing w:line="560" w:lineRule="exact"/>
        <w:ind w:firstLine="640" w:firstLineChars="200"/>
        <w:rPr>
          <w:rFonts w:ascii="Times New Roman" w:eastAsia="楷体"/>
          <w:color w:val="auto"/>
          <w:szCs w:val="32"/>
        </w:rPr>
      </w:pPr>
      <w:r>
        <w:rPr>
          <w:rFonts w:ascii="Times New Roman" w:eastAsia="楷体"/>
          <w:color w:val="auto"/>
          <w:szCs w:val="32"/>
        </w:rPr>
        <w:t>三、</w:t>
      </w:r>
      <w:bookmarkStart w:id="2" w:name="_Hlk85131897"/>
      <w:r>
        <w:rPr>
          <w:rFonts w:ascii="Times New Roman" w:eastAsia="楷体"/>
          <w:color w:val="auto"/>
          <w:szCs w:val="32"/>
        </w:rPr>
        <w:t>本次国有建设用地使用权拍卖出让按照价高者得的原则确定竞得人，不设保留价。</w:t>
      </w:r>
      <w:bookmarkEnd w:id="2"/>
    </w:p>
    <w:p>
      <w:pPr>
        <w:widowControl/>
        <w:spacing w:line="560" w:lineRule="exact"/>
        <w:ind w:firstLine="640" w:firstLineChars="200"/>
        <w:rPr>
          <w:rFonts w:ascii="Times New Roman" w:eastAsia="楷体"/>
          <w:color w:val="auto"/>
          <w:szCs w:val="32"/>
        </w:rPr>
      </w:pPr>
      <w:r>
        <w:rPr>
          <w:rFonts w:ascii="Times New Roman" w:eastAsia="楷体"/>
          <w:color w:val="auto"/>
          <w:szCs w:val="32"/>
        </w:rPr>
        <w:t>四、报名与实地踏勘</w:t>
      </w:r>
    </w:p>
    <w:p>
      <w:pPr>
        <w:widowControl/>
        <w:spacing w:line="560" w:lineRule="exact"/>
        <w:ind w:firstLine="640" w:firstLineChars="200"/>
        <w:rPr>
          <w:rFonts w:ascii="Times New Roman" w:eastAsia="仿宋"/>
          <w:b/>
          <w:bCs/>
          <w:color w:val="auto"/>
          <w:szCs w:val="32"/>
        </w:rPr>
      </w:pPr>
      <w:r>
        <w:rPr>
          <w:rFonts w:ascii="Times New Roman" w:eastAsia="仿宋"/>
          <w:color w:val="auto"/>
          <w:szCs w:val="32"/>
        </w:rPr>
        <w:t>（一）拍卖地块的有关文件，可于202</w:t>
      </w:r>
      <w:r>
        <w:rPr>
          <w:rFonts w:hint="eastAsia" w:ascii="Times New Roman" w:eastAsia="仿宋"/>
          <w:color w:val="auto"/>
          <w:szCs w:val="32"/>
        </w:rPr>
        <w:t>6</w:t>
      </w:r>
      <w:r>
        <w:rPr>
          <w:rFonts w:ascii="Times New Roman" w:eastAsia="仿宋"/>
          <w:color w:val="auto"/>
          <w:szCs w:val="32"/>
        </w:rPr>
        <w:t>年</w:t>
      </w:r>
      <w:r>
        <w:rPr>
          <w:rFonts w:hint="eastAsia" w:ascii="Times New Roman" w:eastAsia="仿宋"/>
          <w:color w:val="auto"/>
          <w:szCs w:val="32"/>
        </w:rPr>
        <w:t>9</w:t>
      </w:r>
      <w:r>
        <w:rPr>
          <w:rFonts w:ascii="Times New Roman" w:eastAsia="仿宋"/>
          <w:color w:val="auto"/>
          <w:szCs w:val="32"/>
        </w:rPr>
        <w:t>月</w:t>
      </w:r>
      <w:r>
        <w:rPr>
          <w:rFonts w:hint="eastAsia" w:ascii="Times New Roman" w:eastAsia="仿宋"/>
          <w:color w:val="auto"/>
          <w:szCs w:val="32"/>
          <w:lang w:val="en-US" w:eastAsia="zh-CN"/>
        </w:rPr>
        <w:t>11</w:t>
      </w:r>
      <w:r>
        <w:rPr>
          <w:rFonts w:ascii="Times New Roman" w:eastAsia="仿宋"/>
          <w:color w:val="auto"/>
          <w:szCs w:val="32"/>
        </w:rPr>
        <w:t>日至</w:t>
      </w:r>
      <w:r>
        <w:rPr>
          <w:rFonts w:hint="eastAsia" w:ascii="Times New Roman" w:eastAsia="仿宋"/>
          <w:color w:val="auto"/>
          <w:szCs w:val="32"/>
        </w:rPr>
        <w:t>2026年9</w:t>
      </w:r>
      <w:r>
        <w:rPr>
          <w:rFonts w:ascii="Times New Roman" w:eastAsia="仿宋"/>
          <w:color w:val="auto"/>
          <w:szCs w:val="32"/>
        </w:rPr>
        <w:t>月</w:t>
      </w:r>
      <w:r>
        <w:rPr>
          <w:rFonts w:hint="eastAsia" w:ascii="Times New Roman" w:eastAsia="仿宋"/>
          <w:color w:val="auto"/>
          <w:szCs w:val="32"/>
        </w:rPr>
        <w:t>2</w:t>
      </w:r>
      <w:r>
        <w:rPr>
          <w:rFonts w:hint="eastAsia" w:ascii="Times New Roman" w:eastAsia="仿宋"/>
          <w:color w:val="auto"/>
          <w:szCs w:val="32"/>
          <w:lang w:val="en-US" w:eastAsia="zh-CN"/>
        </w:rPr>
        <w:t>9</w:t>
      </w:r>
      <w:r>
        <w:rPr>
          <w:rFonts w:ascii="Times New Roman" w:eastAsia="仿宋"/>
          <w:color w:val="auto"/>
          <w:szCs w:val="32"/>
        </w:rPr>
        <w:t>日（工作日）到泉州市丰泽区海星街100号东海大厦A幢市政务服务中心4楼450室购买索取，</w:t>
      </w:r>
      <w:r>
        <w:rPr>
          <w:rFonts w:ascii="Times New Roman" w:eastAsia="仿宋"/>
          <w:b/>
          <w:bCs/>
          <w:color w:val="auto"/>
          <w:szCs w:val="32"/>
        </w:rPr>
        <w:t>电话：0595-22189025。</w:t>
      </w:r>
    </w:p>
    <w:p>
      <w:pPr>
        <w:widowControl/>
        <w:spacing w:line="560" w:lineRule="exact"/>
        <w:ind w:firstLine="640" w:firstLineChars="200"/>
        <w:rPr>
          <w:rFonts w:ascii="Times New Roman" w:eastAsia="仿宋"/>
          <w:color w:val="auto"/>
          <w:szCs w:val="32"/>
        </w:rPr>
      </w:pPr>
      <w:r>
        <w:rPr>
          <w:rFonts w:ascii="Times New Roman" w:eastAsia="仿宋"/>
          <w:color w:val="auto"/>
          <w:szCs w:val="32"/>
        </w:rPr>
        <w:t>（二）竞买人须在202</w:t>
      </w:r>
      <w:r>
        <w:rPr>
          <w:rFonts w:hint="eastAsia" w:ascii="Times New Roman" w:eastAsia="仿宋"/>
          <w:color w:val="auto"/>
          <w:szCs w:val="32"/>
        </w:rPr>
        <w:t>6</w:t>
      </w:r>
      <w:r>
        <w:rPr>
          <w:rFonts w:ascii="Times New Roman" w:eastAsia="仿宋"/>
          <w:color w:val="auto"/>
          <w:szCs w:val="32"/>
        </w:rPr>
        <w:t>年</w:t>
      </w:r>
      <w:r>
        <w:rPr>
          <w:rFonts w:hint="eastAsia" w:ascii="Times New Roman" w:eastAsia="仿宋"/>
          <w:color w:val="auto"/>
          <w:szCs w:val="32"/>
        </w:rPr>
        <w:t>9</w:t>
      </w:r>
      <w:r>
        <w:rPr>
          <w:rFonts w:ascii="Times New Roman" w:eastAsia="仿宋"/>
          <w:color w:val="auto"/>
          <w:szCs w:val="32"/>
        </w:rPr>
        <w:t>月</w:t>
      </w:r>
      <w:r>
        <w:rPr>
          <w:rFonts w:hint="eastAsia" w:ascii="Times New Roman" w:eastAsia="仿宋"/>
          <w:color w:val="auto"/>
          <w:szCs w:val="32"/>
        </w:rPr>
        <w:t>2</w:t>
      </w:r>
      <w:r>
        <w:rPr>
          <w:rFonts w:hint="eastAsia" w:ascii="Times New Roman" w:eastAsia="仿宋"/>
          <w:color w:val="auto"/>
          <w:szCs w:val="32"/>
          <w:lang w:val="en-US" w:eastAsia="zh-CN"/>
        </w:rPr>
        <w:t>9</w:t>
      </w:r>
      <w:r>
        <w:rPr>
          <w:rFonts w:ascii="Times New Roman" w:eastAsia="仿宋"/>
          <w:color w:val="auto"/>
          <w:szCs w:val="32"/>
        </w:rPr>
        <w:t>日17时前（工作日）携带有效营业执照副本、法定代表人身份证件或授权委托书、已交纳竞买保证金的凭证及其他相关要求材料等，到泉州市丰泽区海星街100号东海大厦A幢市政务服务中心4楼450室办理报名手续。</w:t>
      </w:r>
      <w:r>
        <w:rPr>
          <w:rFonts w:ascii="Times New Roman" w:eastAsia="仿宋"/>
          <w:b/>
          <w:bCs/>
          <w:color w:val="auto"/>
          <w:szCs w:val="32"/>
        </w:rPr>
        <w:t>电话：0595-22189025。</w:t>
      </w:r>
      <w:r>
        <w:rPr>
          <w:rFonts w:ascii="Times New Roman" w:eastAsia="仿宋"/>
          <w:color w:val="auto"/>
          <w:szCs w:val="32"/>
        </w:rPr>
        <w:t>交纳竞买保证金的截止时间为202</w:t>
      </w:r>
      <w:r>
        <w:rPr>
          <w:rFonts w:hint="eastAsia" w:ascii="Times New Roman" w:eastAsia="仿宋"/>
          <w:color w:val="auto"/>
          <w:szCs w:val="32"/>
        </w:rPr>
        <w:t>6</w:t>
      </w:r>
      <w:r>
        <w:rPr>
          <w:rFonts w:ascii="Times New Roman" w:eastAsia="仿宋"/>
          <w:color w:val="auto"/>
          <w:szCs w:val="32"/>
        </w:rPr>
        <w:t>年</w:t>
      </w:r>
      <w:r>
        <w:rPr>
          <w:rFonts w:hint="eastAsia" w:ascii="Times New Roman" w:eastAsia="仿宋"/>
          <w:color w:val="auto"/>
          <w:szCs w:val="32"/>
        </w:rPr>
        <w:t>9</w:t>
      </w:r>
      <w:r>
        <w:rPr>
          <w:rFonts w:ascii="Times New Roman" w:eastAsia="仿宋"/>
          <w:color w:val="auto"/>
          <w:szCs w:val="32"/>
        </w:rPr>
        <w:t>月</w:t>
      </w:r>
      <w:r>
        <w:rPr>
          <w:rFonts w:hint="eastAsia" w:ascii="Times New Roman" w:eastAsia="仿宋"/>
          <w:color w:val="auto"/>
          <w:szCs w:val="32"/>
        </w:rPr>
        <w:t>2</w:t>
      </w:r>
      <w:r>
        <w:rPr>
          <w:rFonts w:hint="eastAsia" w:ascii="Times New Roman" w:eastAsia="仿宋"/>
          <w:color w:val="auto"/>
          <w:szCs w:val="32"/>
          <w:lang w:val="en-US" w:eastAsia="zh-CN"/>
        </w:rPr>
        <w:t>9</w:t>
      </w:r>
      <w:r>
        <w:rPr>
          <w:rFonts w:ascii="Times New Roman" w:eastAsia="仿宋"/>
          <w:color w:val="auto"/>
          <w:szCs w:val="32"/>
        </w:rPr>
        <w:t>日17时前（以泉州市产权交易中心有限公司收到款项的时间为准）。</w:t>
      </w:r>
    </w:p>
    <w:p>
      <w:pPr>
        <w:widowControl/>
        <w:spacing w:line="560" w:lineRule="exact"/>
        <w:ind w:firstLine="640" w:firstLineChars="200"/>
        <w:rPr>
          <w:rFonts w:ascii="Times New Roman" w:eastAsia="仿宋"/>
          <w:color w:val="auto"/>
          <w:szCs w:val="32"/>
        </w:rPr>
      </w:pPr>
      <w:r>
        <w:rPr>
          <w:rFonts w:ascii="Times New Roman" w:eastAsia="仿宋"/>
          <w:color w:val="auto"/>
          <w:szCs w:val="32"/>
        </w:rPr>
        <w:t>经审查，竞买人按规定交纳竞买保证金，具备申请条件的，泉州市产权交易中心有限公司将在报名结束后确认其竞买资格，发给《竞买资格确认书》。</w:t>
      </w:r>
    </w:p>
    <w:p>
      <w:pPr>
        <w:widowControl/>
        <w:spacing w:line="560" w:lineRule="exact"/>
        <w:ind w:firstLine="640" w:firstLineChars="200"/>
        <w:rPr>
          <w:rFonts w:ascii="Times New Roman" w:eastAsia="仿宋"/>
          <w:color w:val="auto"/>
          <w:szCs w:val="32"/>
        </w:rPr>
      </w:pPr>
      <w:r>
        <w:rPr>
          <w:rFonts w:ascii="Times New Roman" w:eastAsia="仿宋"/>
          <w:color w:val="auto"/>
          <w:szCs w:val="32"/>
        </w:rPr>
        <w:t>（三）拍卖地块踏勘时间为202</w:t>
      </w:r>
      <w:r>
        <w:rPr>
          <w:rFonts w:hint="eastAsia" w:ascii="Times New Roman" w:eastAsia="仿宋"/>
          <w:color w:val="auto"/>
          <w:szCs w:val="32"/>
        </w:rPr>
        <w:t>6</w:t>
      </w:r>
      <w:r>
        <w:rPr>
          <w:rFonts w:ascii="Times New Roman" w:eastAsia="仿宋"/>
          <w:color w:val="auto"/>
          <w:szCs w:val="32"/>
        </w:rPr>
        <w:t>年</w:t>
      </w:r>
      <w:r>
        <w:rPr>
          <w:rFonts w:hint="eastAsia" w:ascii="Times New Roman" w:eastAsia="仿宋"/>
          <w:color w:val="auto"/>
          <w:szCs w:val="32"/>
        </w:rPr>
        <w:t>9</w:t>
      </w:r>
      <w:r>
        <w:rPr>
          <w:rFonts w:ascii="Times New Roman" w:eastAsia="仿宋"/>
          <w:color w:val="auto"/>
          <w:szCs w:val="32"/>
        </w:rPr>
        <w:t>月</w:t>
      </w:r>
      <w:r>
        <w:rPr>
          <w:rFonts w:hint="eastAsia" w:ascii="Times New Roman" w:eastAsia="仿宋"/>
          <w:color w:val="auto"/>
          <w:szCs w:val="32"/>
          <w:lang w:val="en-US" w:eastAsia="zh-CN"/>
        </w:rPr>
        <w:t>14</w:t>
      </w:r>
      <w:r>
        <w:rPr>
          <w:rFonts w:ascii="Times New Roman" w:eastAsia="仿宋"/>
          <w:color w:val="auto"/>
          <w:szCs w:val="32"/>
        </w:rPr>
        <w:t>日至</w:t>
      </w:r>
      <w:r>
        <w:rPr>
          <w:rFonts w:hint="eastAsia" w:ascii="Times New Roman" w:eastAsia="仿宋"/>
          <w:color w:val="auto"/>
          <w:szCs w:val="32"/>
        </w:rPr>
        <w:t>9</w:t>
      </w:r>
      <w:r>
        <w:rPr>
          <w:rFonts w:ascii="Times New Roman" w:eastAsia="仿宋"/>
          <w:color w:val="auto"/>
          <w:szCs w:val="32"/>
        </w:rPr>
        <w:t>月</w:t>
      </w:r>
      <w:r>
        <w:rPr>
          <w:rFonts w:hint="eastAsia" w:ascii="Times New Roman" w:eastAsia="仿宋"/>
          <w:color w:val="auto"/>
          <w:szCs w:val="32"/>
        </w:rPr>
        <w:t>1</w:t>
      </w:r>
      <w:r>
        <w:rPr>
          <w:rFonts w:hint="eastAsia" w:ascii="Times New Roman" w:eastAsia="仿宋"/>
          <w:color w:val="auto"/>
          <w:szCs w:val="32"/>
          <w:lang w:val="en-US" w:eastAsia="zh-CN"/>
        </w:rPr>
        <w:t>5</w:t>
      </w:r>
      <w:r>
        <w:rPr>
          <w:rFonts w:ascii="Times New Roman" w:eastAsia="仿宋"/>
          <w:color w:val="auto"/>
          <w:szCs w:val="32"/>
        </w:rPr>
        <w:t>日。需由我局派员陪同实地踏勘的，请提前与我局联系，联系电话：0595－22769</w:t>
      </w:r>
      <w:r>
        <w:rPr>
          <w:rFonts w:hint="eastAsia" w:ascii="Times New Roman" w:eastAsia="仿宋"/>
          <w:color w:val="auto"/>
          <w:szCs w:val="32"/>
        </w:rPr>
        <w:t>01</w:t>
      </w:r>
      <w:r>
        <w:rPr>
          <w:rFonts w:ascii="Times New Roman" w:eastAsia="仿宋"/>
          <w:color w:val="auto"/>
          <w:szCs w:val="32"/>
        </w:rPr>
        <w:t>2。</w:t>
      </w:r>
    </w:p>
    <w:p>
      <w:pPr>
        <w:widowControl/>
        <w:spacing w:line="560" w:lineRule="exact"/>
        <w:ind w:firstLine="600"/>
        <w:rPr>
          <w:rFonts w:ascii="Times New Roman" w:eastAsia="楷体"/>
          <w:color w:val="auto"/>
          <w:szCs w:val="32"/>
        </w:rPr>
      </w:pPr>
      <w:r>
        <w:rPr>
          <w:rFonts w:ascii="Times New Roman" w:eastAsia="楷体"/>
          <w:color w:val="auto"/>
          <w:szCs w:val="32"/>
        </w:rPr>
        <w:t>五、拍卖时间与地点</w:t>
      </w:r>
    </w:p>
    <w:p>
      <w:pPr>
        <w:widowControl/>
        <w:spacing w:line="560" w:lineRule="exact"/>
        <w:ind w:firstLine="600" w:firstLineChars="200"/>
        <w:rPr>
          <w:rFonts w:ascii="Times New Roman" w:eastAsia="仿宋"/>
          <w:color w:val="auto"/>
          <w:sz w:val="30"/>
          <w:szCs w:val="30"/>
        </w:rPr>
      </w:pPr>
      <w:r>
        <w:rPr>
          <w:rFonts w:ascii="Times New Roman" w:eastAsia="仿宋"/>
          <w:color w:val="auto"/>
          <w:sz w:val="30"/>
          <w:szCs w:val="30"/>
        </w:rPr>
        <w:t>拍卖时间：202</w:t>
      </w:r>
      <w:r>
        <w:rPr>
          <w:rFonts w:hint="eastAsia" w:ascii="Times New Roman" w:eastAsia="仿宋"/>
          <w:color w:val="auto"/>
          <w:sz w:val="30"/>
          <w:szCs w:val="30"/>
        </w:rPr>
        <w:t>6</w:t>
      </w:r>
      <w:r>
        <w:rPr>
          <w:rFonts w:ascii="Times New Roman" w:eastAsia="仿宋"/>
          <w:color w:val="auto"/>
          <w:sz w:val="30"/>
          <w:szCs w:val="30"/>
        </w:rPr>
        <w:t>年</w:t>
      </w:r>
      <w:r>
        <w:rPr>
          <w:rFonts w:hint="eastAsia" w:ascii="Times New Roman" w:eastAsia="仿宋"/>
          <w:color w:val="auto"/>
          <w:sz w:val="30"/>
          <w:szCs w:val="30"/>
        </w:rPr>
        <w:t>9</w:t>
      </w:r>
      <w:r>
        <w:rPr>
          <w:rFonts w:ascii="Times New Roman" w:eastAsia="仿宋"/>
          <w:color w:val="auto"/>
          <w:sz w:val="30"/>
          <w:szCs w:val="30"/>
        </w:rPr>
        <w:t>月</w:t>
      </w:r>
      <w:r>
        <w:rPr>
          <w:rFonts w:hint="eastAsia" w:ascii="Times New Roman" w:eastAsia="仿宋"/>
          <w:color w:val="auto"/>
          <w:sz w:val="30"/>
          <w:szCs w:val="30"/>
          <w:lang w:val="en-US" w:eastAsia="zh-CN"/>
        </w:rPr>
        <w:t>30</w:t>
      </w:r>
      <w:r>
        <w:rPr>
          <w:rFonts w:ascii="Times New Roman" w:eastAsia="仿宋"/>
          <w:color w:val="auto"/>
          <w:sz w:val="30"/>
          <w:szCs w:val="30"/>
        </w:rPr>
        <w:t>日9：00。</w:t>
      </w:r>
    </w:p>
    <w:p>
      <w:pPr>
        <w:widowControl/>
        <w:spacing w:line="560" w:lineRule="exact"/>
        <w:ind w:firstLine="600" w:firstLineChars="200"/>
        <w:rPr>
          <w:rFonts w:ascii="Times New Roman" w:eastAsia="仿宋"/>
          <w:color w:val="auto"/>
          <w:sz w:val="30"/>
          <w:szCs w:val="30"/>
        </w:rPr>
      </w:pPr>
      <w:r>
        <w:rPr>
          <w:rFonts w:ascii="Times New Roman" w:eastAsia="仿宋"/>
          <w:color w:val="auto"/>
          <w:sz w:val="30"/>
          <w:szCs w:val="30"/>
        </w:rPr>
        <w:t>拍卖地点：</w:t>
      </w:r>
      <w:r>
        <w:rPr>
          <w:rFonts w:ascii="Times New Roman" w:eastAsia="仿宋"/>
          <w:color w:val="auto"/>
          <w:szCs w:val="32"/>
        </w:rPr>
        <w:t>泉州市政务服务中心（东海大厦）A幢442室（地址：泉州市丰泽区海星街100号）</w:t>
      </w:r>
      <w:r>
        <w:rPr>
          <w:rFonts w:ascii="Times New Roman" w:eastAsia="仿宋"/>
          <w:color w:val="auto"/>
          <w:sz w:val="30"/>
          <w:szCs w:val="30"/>
        </w:rPr>
        <w:t>。</w:t>
      </w:r>
    </w:p>
    <w:p>
      <w:pPr>
        <w:widowControl/>
        <w:spacing w:line="560" w:lineRule="exact"/>
        <w:ind w:firstLine="640" w:firstLineChars="200"/>
        <w:rPr>
          <w:rFonts w:ascii="Times New Roman" w:eastAsia="楷体"/>
          <w:color w:val="auto"/>
          <w:szCs w:val="32"/>
        </w:rPr>
      </w:pPr>
      <w:r>
        <w:rPr>
          <w:rFonts w:ascii="Times New Roman" w:eastAsia="楷体"/>
          <w:color w:val="auto"/>
          <w:szCs w:val="32"/>
        </w:rPr>
        <w:t>六、付款方式及期限</w:t>
      </w:r>
    </w:p>
    <w:p>
      <w:pPr>
        <w:spacing w:line="579" w:lineRule="exact"/>
        <w:ind w:firstLine="636" w:firstLineChars="199"/>
        <w:rPr>
          <w:rFonts w:hint="eastAsia" w:ascii="Times New Roman" w:eastAsia="仿宋"/>
          <w:color w:val="auto"/>
          <w:szCs w:val="32"/>
        </w:rPr>
      </w:pPr>
      <w:bookmarkStart w:id="3" w:name="_Hlk25847200"/>
      <w:bookmarkStart w:id="4" w:name="_Hlk26171907"/>
      <w:r>
        <w:rPr>
          <w:rFonts w:hint="eastAsia" w:ascii="Times New Roman" w:eastAsia="仿宋"/>
          <w:color w:val="auto"/>
          <w:szCs w:val="32"/>
        </w:rPr>
        <w:t>上述地块竞得人自竞得之日起30日内应缴交成交价总额50%的成交价款（竞买保证金转作受让地块的定金，抵作土地出让价款），余款自竞得之日起3个月内交清。</w:t>
      </w:r>
    </w:p>
    <w:p>
      <w:pPr>
        <w:spacing w:line="579" w:lineRule="exact"/>
        <w:ind w:firstLine="636" w:firstLineChars="199"/>
        <w:rPr>
          <w:rFonts w:ascii="Times New Roman" w:eastAsia="仿宋"/>
          <w:color w:val="auto"/>
          <w:szCs w:val="32"/>
        </w:rPr>
      </w:pPr>
      <w:r>
        <w:rPr>
          <w:rFonts w:ascii="Times New Roman" w:eastAsia="仿宋"/>
          <w:color w:val="auto"/>
          <w:szCs w:val="32"/>
        </w:rPr>
        <w:t>竞得人应当按时支付成交价款，不能按时支付成交价款的，自违约之日起，每日按迟延支付款项的1‰向出让人缴纳违约金。延期付款超过60日，经出让人催</w:t>
      </w:r>
      <w:r>
        <w:rPr>
          <w:rFonts w:hint="eastAsia" w:ascii="Times New Roman" w:eastAsia="仿宋"/>
          <w:color w:val="auto"/>
          <w:szCs w:val="32"/>
        </w:rPr>
        <w:t>缴</w:t>
      </w:r>
      <w:r>
        <w:rPr>
          <w:rFonts w:ascii="Times New Roman" w:eastAsia="仿宋"/>
          <w:color w:val="auto"/>
          <w:szCs w:val="32"/>
        </w:rPr>
        <w:t>后仍</w:t>
      </w:r>
      <w:r>
        <w:rPr>
          <w:rFonts w:hint="eastAsia" w:ascii="Times New Roman" w:eastAsia="仿宋"/>
          <w:color w:val="auto"/>
          <w:szCs w:val="32"/>
        </w:rPr>
        <w:t>未</w:t>
      </w:r>
      <w:r>
        <w:rPr>
          <w:rFonts w:ascii="Times New Roman" w:eastAsia="仿宋"/>
          <w:color w:val="auto"/>
          <w:szCs w:val="32"/>
        </w:rPr>
        <w:t>支付成交价款的，出让人有权解除合同并可请求违约赔偿，竞得人无权要求</w:t>
      </w:r>
      <w:r>
        <w:rPr>
          <w:rFonts w:hint="eastAsia" w:ascii="Times New Roman" w:eastAsia="仿宋"/>
          <w:color w:val="auto"/>
          <w:szCs w:val="32"/>
        </w:rPr>
        <w:t>退</w:t>
      </w:r>
      <w:r>
        <w:rPr>
          <w:rFonts w:ascii="Times New Roman" w:eastAsia="仿宋"/>
          <w:color w:val="auto"/>
          <w:szCs w:val="32"/>
        </w:rPr>
        <w:t>还定金。</w:t>
      </w:r>
      <w:bookmarkEnd w:id="3"/>
    </w:p>
    <w:bookmarkEnd w:id="4"/>
    <w:p>
      <w:pPr>
        <w:widowControl/>
        <w:spacing w:line="560" w:lineRule="exact"/>
        <w:ind w:firstLine="640" w:firstLineChars="200"/>
        <w:rPr>
          <w:rFonts w:ascii="Times New Roman" w:eastAsia="楷体"/>
          <w:bCs/>
          <w:color w:val="auto"/>
          <w:sz w:val="30"/>
          <w:szCs w:val="30"/>
        </w:rPr>
      </w:pPr>
      <w:r>
        <w:rPr>
          <w:rFonts w:ascii="Times New Roman" w:eastAsia="楷体"/>
          <w:bCs/>
          <w:color w:val="auto"/>
          <w:szCs w:val="32"/>
        </w:rPr>
        <w:t>七、竞买人竞得土地后，拟</w:t>
      </w:r>
      <w:r>
        <w:rPr>
          <w:rFonts w:hint="eastAsia" w:ascii="Times New Roman" w:eastAsia="楷体"/>
          <w:bCs/>
          <w:color w:val="auto"/>
          <w:szCs w:val="32"/>
        </w:rPr>
        <w:t>以</w:t>
      </w:r>
      <w:r>
        <w:rPr>
          <w:rFonts w:ascii="Times New Roman" w:eastAsia="楷体"/>
          <w:bCs/>
          <w:color w:val="auto"/>
          <w:szCs w:val="32"/>
        </w:rPr>
        <w:t>新公司进行开发建设的，应在竞买申请书中明确公司的出资构成、成立时间等内容，按合同约定时间交清成交价款。新成立的公司应在国有建设用地使用权出让合同签订之日起90日内办理完成注册登记手续，由我局与新公司签订《国有建设用地使用权出让合同变更协议》。</w:t>
      </w:r>
    </w:p>
    <w:p>
      <w:pPr>
        <w:widowControl/>
        <w:spacing w:line="560" w:lineRule="exact"/>
        <w:ind w:firstLine="640" w:firstLineChars="200"/>
        <w:rPr>
          <w:rFonts w:ascii="Times New Roman" w:eastAsia="楷体"/>
          <w:bCs/>
          <w:color w:val="auto"/>
          <w:szCs w:val="32"/>
        </w:rPr>
      </w:pPr>
      <w:r>
        <w:rPr>
          <w:rFonts w:ascii="Times New Roman" w:eastAsia="楷体"/>
          <w:bCs/>
          <w:color w:val="auto"/>
          <w:szCs w:val="32"/>
        </w:rPr>
        <w:t>八、开工、竣工时间</w:t>
      </w:r>
    </w:p>
    <w:p>
      <w:pPr>
        <w:spacing w:line="579" w:lineRule="exact"/>
        <w:ind w:firstLine="636" w:firstLineChars="199"/>
        <w:rPr>
          <w:rFonts w:ascii="Times New Roman" w:eastAsia="仿宋"/>
          <w:color w:val="auto"/>
          <w:szCs w:val="32"/>
        </w:rPr>
      </w:pPr>
      <w:bookmarkStart w:id="5" w:name="_Hlk26172042"/>
      <w:r>
        <w:rPr>
          <w:rFonts w:ascii="Times New Roman" w:eastAsia="仿宋"/>
          <w:color w:val="auto"/>
          <w:szCs w:val="32"/>
        </w:rPr>
        <w:t>上述地块竞得人应在签订《国有建设用地使用权出让合同》之</w:t>
      </w:r>
      <w:bookmarkEnd w:id="5"/>
      <w:r>
        <w:rPr>
          <w:rFonts w:ascii="Times New Roman" w:eastAsia="仿宋"/>
          <w:color w:val="auto"/>
          <w:szCs w:val="32"/>
        </w:rPr>
        <w:t>日起1年内开工，并在开工后</w:t>
      </w:r>
      <w:r>
        <w:rPr>
          <w:rFonts w:hint="eastAsia" w:ascii="Times New Roman" w:eastAsia="仿宋"/>
          <w:color w:val="auto"/>
          <w:szCs w:val="32"/>
        </w:rPr>
        <w:t>3</w:t>
      </w:r>
      <w:r>
        <w:rPr>
          <w:rFonts w:ascii="Times New Roman" w:eastAsia="仿宋"/>
          <w:color w:val="auto"/>
          <w:szCs w:val="32"/>
        </w:rPr>
        <w:t>年内竣工。</w:t>
      </w:r>
    </w:p>
    <w:p>
      <w:pPr>
        <w:spacing w:line="579" w:lineRule="exact"/>
        <w:ind w:firstLine="636" w:firstLineChars="199"/>
        <w:rPr>
          <w:rFonts w:ascii="Times New Roman" w:eastAsia="仿宋"/>
          <w:color w:val="auto"/>
          <w:szCs w:val="32"/>
        </w:rPr>
      </w:pPr>
      <w:r>
        <w:rPr>
          <w:rFonts w:ascii="Times New Roman" w:eastAsia="仿宋"/>
          <w:color w:val="auto"/>
          <w:szCs w:val="32"/>
        </w:rPr>
        <w:t>竞得人未能按照合同约定日期或同意延建所另行约定日期开工建设但不超过一年的，每延期一日，应向出让人支付相当于国有建设用地使用权出让价款总额</w:t>
      </w:r>
      <w:bookmarkStart w:id="6" w:name="KG_YQ_WYJ_BL"/>
      <w:r>
        <w:rPr>
          <w:rFonts w:hint="eastAsia" w:ascii="Times New Roman" w:eastAsia="仿宋"/>
          <w:color w:val="auto"/>
          <w:szCs w:val="32"/>
        </w:rPr>
        <w:t xml:space="preserve">1 </w:t>
      </w:r>
      <w:bookmarkEnd w:id="6"/>
      <w:r>
        <w:rPr>
          <w:rFonts w:ascii="Times New Roman" w:eastAsia="仿宋"/>
          <w:color w:val="auto"/>
          <w:szCs w:val="32"/>
        </w:rPr>
        <w:t>‰的违约金，出让人有权要求竞得人继续履约。</w:t>
      </w:r>
    </w:p>
    <w:p>
      <w:pPr>
        <w:spacing w:line="579" w:lineRule="exact"/>
        <w:ind w:firstLine="636" w:firstLineChars="199"/>
        <w:rPr>
          <w:rFonts w:ascii="Times New Roman" w:eastAsia="仿宋"/>
          <w:color w:val="auto"/>
          <w:szCs w:val="32"/>
        </w:rPr>
      </w:pPr>
      <w:r>
        <w:rPr>
          <w:rFonts w:ascii="Times New Roman" w:eastAsia="仿宋"/>
          <w:color w:val="auto"/>
          <w:szCs w:val="32"/>
        </w:rPr>
        <w:t>竞得人未能按照合同约定日期或同意延建所另行约定日期竣工的，每延期一日，应向出让人支付相当于未竣工计容建筑面积对应国有建设用地使用权出让价款</w:t>
      </w:r>
      <w:bookmarkStart w:id="7" w:name="JG_YQ_WYJ_BL"/>
      <w:r>
        <w:rPr>
          <w:rFonts w:hint="eastAsia" w:ascii="Times New Roman" w:eastAsia="仿宋"/>
          <w:color w:val="auto"/>
          <w:szCs w:val="32"/>
        </w:rPr>
        <w:t xml:space="preserve">1 </w:t>
      </w:r>
      <w:bookmarkEnd w:id="7"/>
      <w:r>
        <w:rPr>
          <w:rFonts w:ascii="Times New Roman" w:eastAsia="仿宋"/>
          <w:color w:val="auto"/>
          <w:szCs w:val="32"/>
        </w:rPr>
        <w:t>‰的违约金。</w:t>
      </w:r>
    </w:p>
    <w:p>
      <w:pPr>
        <w:spacing w:line="579" w:lineRule="exact"/>
        <w:ind w:firstLine="636" w:firstLineChars="199"/>
        <w:rPr>
          <w:rFonts w:ascii="Times New Roman" w:eastAsia="仿宋"/>
          <w:color w:val="auto"/>
          <w:szCs w:val="32"/>
        </w:rPr>
      </w:pPr>
      <w:r>
        <w:rPr>
          <w:rFonts w:ascii="Times New Roman" w:eastAsia="仿宋"/>
          <w:color w:val="auto"/>
          <w:szCs w:val="32"/>
        </w:rPr>
        <w:t>竞得人造成土地闲置，按《闲置土地处置办法》有关规定执行。</w:t>
      </w:r>
    </w:p>
    <w:p>
      <w:pPr>
        <w:pStyle w:val="6"/>
        <w:widowControl/>
        <w:spacing w:line="560" w:lineRule="exact"/>
        <w:rPr>
          <w:rFonts w:ascii="Times New Roman" w:eastAsia="楷体"/>
          <w:bCs/>
          <w:color w:val="auto"/>
          <w:szCs w:val="32"/>
        </w:rPr>
      </w:pPr>
      <w:r>
        <w:rPr>
          <w:rFonts w:ascii="Times New Roman" w:eastAsia="楷体"/>
          <w:bCs/>
          <w:color w:val="auto"/>
          <w:szCs w:val="32"/>
        </w:rPr>
        <w:t>九、本次国有建设用地使用权拍卖出让的详细资料和具体要求，详见本次拍卖文件。</w:t>
      </w:r>
    </w:p>
    <w:p>
      <w:pPr>
        <w:widowControl/>
        <w:spacing w:line="560" w:lineRule="exact"/>
        <w:ind w:firstLine="600"/>
        <w:rPr>
          <w:rFonts w:ascii="Times New Roman" w:eastAsia="楷体"/>
          <w:bCs/>
          <w:color w:val="auto"/>
          <w:szCs w:val="32"/>
        </w:rPr>
      </w:pPr>
      <w:bookmarkStart w:id="8" w:name="_Hlk146578071"/>
      <w:r>
        <w:rPr>
          <w:rFonts w:ascii="Times New Roman" w:eastAsia="楷体"/>
          <w:bCs/>
          <w:color w:val="auto"/>
          <w:szCs w:val="32"/>
        </w:rPr>
        <w:t>十、</w:t>
      </w:r>
      <w:bookmarkEnd w:id="8"/>
      <w:r>
        <w:rPr>
          <w:rFonts w:ascii="Times New Roman" w:eastAsia="楷体"/>
          <w:bCs/>
          <w:color w:val="auto"/>
          <w:szCs w:val="32"/>
        </w:rPr>
        <w:t>注意事项</w:t>
      </w:r>
    </w:p>
    <w:p>
      <w:pPr>
        <w:widowControl/>
        <w:spacing w:line="560" w:lineRule="exact"/>
        <w:ind w:firstLine="640" w:firstLineChars="200"/>
        <w:jc w:val="left"/>
        <w:rPr>
          <w:rFonts w:ascii="Times New Roman" w:eastAsia="仿宋"/>
          <w:color w:val="auto"/>
          <w:szCs w:val="32"/>
        </w:rPr>
      </w:pPr>
      <w:r>
        <w:rPr>
          <w:rFonts w:ascii="Times New Roman" w:eastAsia="仿宋"/>
          <w:color w:val="auto"/>
          <w:szCs w:val="32"/>
        </w:rPr>
        <w:t>竞买人须全面阅读有关拍卖文件后再提出申请，申请一经受理确认后，即视为竞买人对拍卖文件及地块现状无异议并全部接受，并对有关承诺承担法律责任。如有疑问可以在拍卖活动开始日以前以书面或口头方式向泉州市产权交易中心有限公司、我局自然资源利用管理科咨询，咨询电话：0595-22189025、0595-2276</w:t>
      </w:r>
      <w:r>
        <w:rPr>
          <w:rFonts w:hint="eastAsia" w:ascii="Times New Roman" w:eastAsia="仿宋"/>
          <w:color w:val="auto"/>
          <w:szCs w:val="32"/>
        </w:rPr>
        <w:t>9012</w:t>
      </w:r>
      <w:r>
        <w:rPr>
          <w:rFonts w:ascii="Times New Roman" w:eastAsia="仿宋"/>
          <w:color w:val="auto"/>
          <w:szCs w:val="32"/>
        </w:rPr>
        <w:t>，传真：0595-22769915，网址：</w:t>
      </w:r>
      <w:r>
        <w:fldChar w:fldCharType="begin"/>
      </w:r>
      <w:r>
        <w:instrText xml:space="preserve"> HYPERLINK "http://zyghj.quanzhou.gov.cn" </w:instrText>
      </w:r>
      <w:r>
        <w:fldChar w:fldCharType="separate"/>
      </w:r>
      <w:r>
        <w:rPr>
          <w:rStyle w:val="14"/>
          <w:rFonts w:ascii="Times New Roman" w:hAnsi="Times New Roman" w:eastAsia="仿宋"/>
          <w:color w:val="auto"/>
          <w:kern w:val="0"/>
          <w:sz w:val="32"/>
          <w:szCs w:val="32"/>
        </w:rPr>
        <w:t>http://zyghj.quanzhou.gov.cn</w:t>
      </w:r>
      <w:r>
        <w:rPr>
          <w:rStyle w:val="14"/>
          <w:rFonts w:ascii="Times New Roman" w:hAnsi="Times New Roman" w:eastAsia="仿宋"/>
          <w:color w:val="auto"/>
          <w:kern w:val="0"/>
          <w:sz w:val="32"/>
          <w:szCs w:val="32"/>
        </w:rPr>
        <w:fldChar w:fldCharType="end"/>
      </w:r>
      <w:r>
        <w:rPr>
          <w:rFonts w:ascii="Times New Roman" w:eastAsia="仿宋"/>
          <w:color w:val="auto"/>
          <w:szCs w:val="32"/>
        </w:rPr>
        <w:t>。</w:t>
      </w:r>
    </w:p>
    <w:p>
      <w:pPr>
        <w:widowControl/>
        <w:spacing w:line="560" w:lineRule="exact"/>
        <w:ind w:firstLine="640" w:firstLineChars="200"/>
        <w:jc w:val="left"/>
        <w:rPr>
          <w:rFonts w:ascii="Times New Roman" w:eastAsia="楷体"/>
          <w:bCs/>
          <w:color w:val="auto"/>
          <w:szCs w:val="32"/>
        </w:rPr>
      </w:pPr>
      <w:r>
        <w:rPr>
          <w:rFonts w:ascii="Times New Roman" w:eastAsia="楷体"/>
          <w:bCs/>
          <w:color w:val="auto"/>
          <w:szCs w:val="32"/>
        </w:rPr>
        <w:t>十一、我局对本《公告》有解释权。</w:t>
      </w:r>
    </w:p>
    <w:p>
      <w:pPr>
        <w:widowControl/>
        <w:spacing w:line="560" w:lineRule="exact"/>
        <w:jc w:val="left"/>
        <w:rPr>
          <w:rFonts w:ascii="Times New Roman" w:eastAsia="楷体"/>
          <w:bCs/>
          <w:color w:val="auto"/>
          <w:szCs w:val="32"/>
        </w:rPr>
      </w:pPr>
    </w:p>
    <w:p>
      <w:pPr>
        <w:pStyle w:val="10"/>
        <w:ind w:firstLine="640"/>
        <w:rPr>
          <w:color w:val="auto"/>
        </w:rPr>
      </w:pPr>
    </w:p>
    <w:p>
      <w:pPr>
        <w:widowControl/>
        <w:spacing w:line="560" w:lineRule="exact"/>
        <w:ind w:firstLine="9760" w:firstLineChars="3050"/>
        <w:jc w:val="left"/>
        <w:rPr>
          <w:rFonts w:ascii="Times New Roman" w:eastAsia="仿宋"/>
          <w:color w:val="auto"/>
          <w:szCs w:val="32"/>
        </w:rPr>
      </w:pPr>
      <w:r>
        <w:rPr>
          <w:rFonts w:ascii="Times New Roman" w:eastAsia="仿宋"/>
          <w:color w:val="auto"/>
          <w:szCs w:val="32"/>
        </w:rPr>
        <w:t>泉州市自然资源和规划局</w:t>
      </w:r>
    </w:p>
    <w:p>
      <w:pPr>
        <w:widowControl/>
        <w:spacing w:line="560" w:lineRule="exact"/>
        <w:ind w:firstLine="10240" w:firstLineChars="3200"/>
        <w:jc w:val="left"/>
        <w:rPr>
          <w:rFonts w:ascii="Times New Roman" w:eastAsia="仿宋"/>
          <w:color w:val="00B0F0"/>
          <w:szCs w:val="32"/>
        </w:rPr>
      </w:pPr>
      <w:r>
        <w:rPr>
          <w:rFonts w:ascii="Times New Roman" w:eastAsia="仿宋"/>
          <w:color w:val="auto"/>
          <w:szCs w:val="32"/>
        </w:rPr>
        <w:t>202</w:t>
      </w:r>
      <w:r>
        <w:rPr>
          <w:rFonts w:hint="eastAsia" w:ascii="Times New Roman" w:eastAsia="仿宋"/>
          <w:color w:val="auto"/>
          <w:szCs w:val="32"/>
        </w:rPr>
        <w:t>6</w:t>
      </w:r>
      <w:r>
        <w:rPr>
          <w:rFonts w:ascii="Times New Roman" w:eastAsia="仿宋"/>
          <w:color w:val="auto"/>
          <w:szCs w:val="32"/>
        </w:rPr>
        <w:t>年</w:t>
      </w:r>
      <w:r>
        <w:rPr>
          <w:rFonts w:hint="eastAsia" w:ascii="Times New Roman" w:eastAsia="仿宋"/>
          <w:color w:val="auto"/>
          <w:szCs w:val="32"/>
        </w:rPr>
        <w:t>9</w:t>
      </w:r>
      <w:r>
        <w:rPr>
          <w:rFonts w:ascii="Times New Roman" w:eastAsia="仿宋"/>
          <w:color w:val="auto"/>
          <w:szCs w:val="32"/>
        </w:rPr>
        <w:t>月</w:t>
      </w:r>
      <w:r>
        <w:rPr>
          <w:rFonts w:hint="eastAsia" w:ascii="Times New Roman" w:eastAsia="仿宋"/>
          <w:color w:val="auto"/>
          <w:szCs w:val="32"/>
          <w:lang w:val="en-US" w:eastAsia="zh-CN"/>
        </w:rPr>
        <w:t>10</w:t>
      </w:r>
      <w:r>
        <w:rPr>
          <w:rFonts w:ascii="Times New Roman" w:eastAsia="仿宋"/>
          <w:color w:val="auto"/>
          <w:szCs w:val="32"/>
        </w:rPr>
        <w:t>日</w:t>
      </w:r>
    </w:p>
    <w:p>
      <w:pPr>
        <w:widowControl/>
        <w:spacing w:line="560" w:lineRule="exact"/>
        <w:ind w:firstLine="10240" w:firstLineChars="3200"/>
        <w:jc w:val="left"/>
        <w:rPr>
          <w:rFonts w:ascii="Times New Roman" w:eastAsia="仿宋"/>
          <w:color w:val="00B0F0"/>
          <w:szCs w:val="32"/>
        </w:rPr>
      </w:pPr>
    </w:p>
    <w:sectPr>
      <w:headerReference r:id="rId3" w:type="default"/>
      <w:footerReference r:id="rId4" w:type="default"/>
      <w:footerReference r:id="rId5" w:type="even"/>
      <w:pgSz w:w="16838" w:h="11906" w:orient="landscape"/>
      <w:pgMar w:top="1361" w:right="1531" w:bottom="1134" w:left="1531" w:header="851" w:footer="992" w:gutter="0"/>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ahoma">
    <w:altName w:val="DejaVu Sans"/>
    <w:panose1 w:val="020B0604030504040204"/>
    <w:charset w:val="00"/>
    <w:family w:val="swiss"/>
    <w:pitch w:val="default"/>
    <w:sig w:usb0="00000000" w:usb1="00000000" w:usb2="00000029" w:usb3="00000000" w:csb0="000101FF" w:csb1="00000000"/>
  </w:font>
  <w:font w:name="汉仪大宋简">
    <w:altName w:val="方正书宋_GBK"/>
    <w:panose1 w:val="00000000000000000000"/>
    <w:charset w:val="86"/>
    <w:family w:val="auto"/>
    <w:pitch w:val="default"/>
    <w:sig w:usb0="00000000" w:usb1="00000000" w:usb2="00000002"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3"/>
        <w:rFonts w:ascii="汉仪大宋简" w:eastAsia="汉仪大宋简"/>
      </w:rPr>
    </w:pPr>
    <w:r>
      <w:rPr>
        <w:rFonts w:hint="eastAsia" w:ascii="汉仪大宋简" w:eastAsia="汉仪大宋简"/>
      </w:rPr>
      <w:fldChar w:fldCharType="begin"/>
    </w:r>
    <w:r>
      <w:rPr>
        <w:rStyle w:val="13"/>
        <w:rFonts w:hint="eastAsia" w:ascii="汉仪大宋简" w:eastAsia="汉仪大宋简"/>
      </w:rPr>
      <w:instrText xml:space="preserve">PAGE  </w:instrText>
    </w:r>
    <w:r>
      <w:rPr>
        <w:rFonts w:hint="eastAsia" w:ascii="汉仪大宋简" w:eastAsia="汉仪大宋简"/>
      </w:rPr>
      <w:fldChar w:fldCharType="separate"/>
    </w:r>
    <w:r>
      <w:rPr>
        <w:rStyle w:val="13"/>
        <w:rFonts w:ascii="汉仪大宋简" w:eastAsia="汉仪大宋简"/>
      </w:rPr>
      <w:t>9</w:t>
    </w:r>
    <w:r>
      <w:rPr>
        <w:rFonts w:hint="eastAsia" w:ascii="汉仪大宋简" w:eastAsia="汉仪大宋简"/>
      </w:rPr>
      <w:fldChar w:fldCharType="end"/>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3"/>
      </w:rPr>
    </w:pPr>
    <w:r>
      <w:fldChar w:fldCharType="begin"/>
    </w:r>
    <w:r>
      <w:rPr>
        <w:rStyle w:val="13"/>
      </w:rPr>
      <w:instrText xml:space="preserve">PAGE  </w:instrText>
    </w:r>
    <w:r>
      <w:fldChar w:fldCharType="separate"/>
    </w:r>
    <w:r>
      <w:rPr>
        <w:rStyle w:val="13"/>
      </w:rPr>
      <w:t>2</w:t>
    </w:r>
    <w:r>
      <w:fldChar w:fldCharType="end"/>
    </w:r>
  </w:p>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DEE97F"/>
    <w:multiLevelType w:val="singleLevel"/>
    <w:tmpl w:val="B2DEE97F"/>
    <w:lvl w:ilvl="0" w:tentative="0">
      <w:start w:val="1"/>
      <w:numFmt w:val="decimal"/>
      <w:pStyle w:val="5"/>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2N2M0YmZlOTJhYzVjNzZkYzBkOTkxMDVkYzE3YWIifQ=="/>
  </w:docVars>
  <w:rsids>
    <w:rsidRoot w:val="009F06F3"/>
    <w:rsid w:val="00004223"/>
    <w:rsid w:val="0001011C"/>
    <w:rsid w:val="0003608A"/>
    <w:rsid w:val="00041936"/>
    <w:rsid w:val="000510CA"/>
    <w:rsid w:val="00057232"/>
    <w:rsid w:val="0005745D"/>
    <w:rsid w:val="000601E2"/>
    <w:rsid w:val="00064A9B"/>
    <w:rsid w:val="0006661F"/>
    <w:rsid w:val="00067536"/>
    <w:rsid w:val="000A17C6"/>
    <w:rsid w:val="000A24AF"/>
    <w:rsid w:val="000A7B0D"/>
    <w:rsid w:val="000C41BE"/>
    <w:rsid w:val="000C65E1"/>
    <w:rsid w:val="000D2CBF"/>
    <w:rsid w:val="000D31B0"/>
    <w:rsid w:val="000D6D5F"/>
    <w:rsid w:val="000E1158"/>
    <w:rsid w:val="000F4CB5"/>
    <w:rsid w:val="000F7C37"/>
    <w:rsid w:val="00101FF1"/>
    <w:rsid w:val="00107C03"/>
    <w:rsid w:val="001143CF"/>
    <w:rsid w:val="0011520D"/>
    <w:rsid w:val="00115DF0"/>
    <w:rsid w:val="00115E79"/>
    <w:rsid w:val="0012407B"/>
    <w:rsid w:val="00124646"/>
    <w:rsid w:val="001343BB"/>
    <w:rsid w:val="00136B5D"/>
    <w:rsid w:val="0014106A"/>
    <w:rsid w:val="00141B58"/>
    <w:rsid w:val="0014426F"/>
    <w:rsid w:val="00144E68"/>
    <w:rsid w:val="0014671B"/>
    <w:rsid w:val="00156E14"/>
    <w:rsid w:val="0016373E"/>
    <w:rsid w:val="001703C4"/>
    <w:rsid w:val="00174A9E"/>
    <w:rsid w:val="00176C6C"/>
    <w:rsid w:val="001848BF"/>
    <w:rsid w:val="00194131"/>
    <w:rsid w:val="00196722"/>
    <w:rsid w:val="001A1A64"/>
    <w:rsid w:val="001A2F65"/>
    <w:rsid w:val="001A4830"/>
    <w:rsid w:val="001A5458"/>
    <w:rsid w:val="001B26C1"/>
    <w:rsid w:val="001B2813"/>
    <w:rsid w:val="001B340D"/>
    <w:rsid w:val="001B480B"/>
    <w:rsid w:val="001B6BA5"/>
    <w:rsid w:val="001C363F"/>
    <w:rsid w:val="001D0D71"/>
    <w:rsid w:val="001D7412"/>
    <w:rsid w:val="001E0097"/>
    <w:rsid w:val="001E55FE"/>
    <w:rsid w:val="001E6E9B"/>
    <w:rsid w:val="001E784C"/>
    <w:rsid w:val="001F197B"/>
    <w:rsid w:val="001F38E8"/>
    <w:rsid w:val="001F4239"/>
    <w:rsid w:val="001F4CF5"/>
    <w:rsid w:val="001F7455"/>
    <w:rsid w:val="00200EBA"/>
    <w:rsid w:val="00202706"/>
    <w:rsid w:val="00202EEC"/>
    <w:rsid w:val="00203EAE"/>
    <w:rsid w:val="00211B55"/>
    <w:rsid w:val="002178FC"/>
    <w:rsid w:val="00217E8B"/>
    <w:rsid w:val="00217E91"/>
    <w:rsid w:val="00217FE4"/>
    <w:rsid w:val="00221337"/>
    <w:rsid w:val="00222EDB"/>
    <w:rsid w:val="00225D2D"/>
    <w:rsid w:val="002267EF"/>
    <w:rsid w:val="002406E3"/>
    <w:rsid w:val="00266688"/>
    <w:rsid w:val="00270475"/>
    <w:rsid w:val="00271710"/>
    <w:rsid w:val="0027259D"/>
    <w:rsid w:val="00272D77"/>
    <w:rsid w:val="00274DB0"/>
    <w:rsid w:val="00284E46"/>
    <w:rsid w:val="00286C96"/>
    <w:rsid w:val="002A7C1C"/>
    <w:rsid w:val="002B665A"/>
    <w:rsid w:val="002C152A"/>
    <w:rsid w:val="002C32C5"/>
    <w:rsid w:val="002D79BA"/>
    <w:rsid w:val="002F6E3C"/>
    <w:rsid w:val="00300F7A"/>
    <w:rsid w:val="0030396B"/>
    <w:rsid w:val="00305CD1"/>
    <w:rsid w:val="00317DC0"/>
    <w:rsid w:val="00322E22"/>
    <w:rsid w:val="003355AD"/>
    <w:rsid w:val="003371DB"/>
    <w:rsid w:val="00342123"/>
    <w:rsid w:val="00342415"/>
    <w:rsid w:val="003518E0"/>
    <w:rsid w:val="0036755A"/>
    <w:rsid w:val="003705E4"/>
    <w:rsid w:val="00374BBC"/>
    <w:rsid w:val="00382245"/>
    <w:rsid w:val="00387347"/>
    <w:rsid w:val="00387FF7"/>
    <w:rsid w:val="00394C86"/>
    <w:rsid w:val="003951C4"/>
    <w:rsid w:val="00395A9E"/>
    <w:rsid w:val="003A0581"/>
    <w:rsid w:val="003A2564"/>
    <w:rsid w:val="003A312D"/>
    <w:rsid w:val="003A6FE5"/>
    <w:rsid w:val="003A70F9"/>
    <w:rsid w:val="003D3A2D"/>
    <w:rsid w:val="003D5A6A"/>
    <w:rsid w:val="003D6F39"/>
    <w:rsid w:val="003D7E2F"/>
    <w:rsid w:val="003E6C80"/>
    <w:rsid w:val="003F5287"/>
    <w:rsid w:val="003F65B7"/>
    <w:rsid w:val="00400BDE"/>
    <w:rsid w:val="00400CB6"/>
    <w:rsid w:val="0040235C"/>
    <w:rsid w:val="004037A7"/>
    <w:rsid w:val="00404B55"/>
    <w:rsid w:val="00405986"/>
    <w:rsid w:val="00415312"/>
    <w:rsid w:val="00416345"/>
    <w:rsid w:val="00426EF8"/>
    <w:rsid w:val="00430114"/>
    <w:rsid w:val="004330B7"/>
    <w:rsid w:val="004410D4"/>
    <w:rsid w:val="00443FFA"/>
    <w:rsid w:val="004457D5"/>
    <w:rsid w:val="00446F55"/>
    <w:rsid w:val="00447E98"/>
    <w:rsid w:val="00450416"/>
    <w:rsid w:val="0045088D"/>
    <w:rsid w:val="0045649A"/>
    <w:rsid w:val="00456DD2"/>
    <w:rsid w:val="00462B2A"/>
    <w:rsid w:val="004641DA"/>
    <w:rsid w:val="00474BFF"/>
    <w:rsid w:val="0047578F"/>
    <w:rsid w:val="0048135F"/>
    <w:rsid w:val="00481628"/>
    <w:rsid w:val="00483B05"/>
    <w:rsid w:val="00485349"/>
    <w:rsid w:val="00487377"/>
    <w:rsid w:val="00492DF7"/>
    <w:rsid w:val="00493D1D"/>
    <w:rsid w:val="00494180"/>
    <w:rsid w:val="004A3886"/>
    <w:rsid w:val="004A501D"/>
    <w:rsid w:val="004A65BC"/>
    <w:rsid w:val="004B4CFA"/>
    <w:rsid w:val="004C6CFB"/>
    <w:rsid w:val="004D3C75"/>
    <w:rsid w:val="004D6C0F"/>
    <w:rsid w:val="004E6AA7"/>
    <w:rsid w:val="004F095E"/>
    <w:rsid w:val="004F1570"/>
    <w:rsid w:val="004F2832"/>
    <w:rsid w:val="004F50CA"/>
    <w:rsid w:val="005047C6"/>
    <w:rsid w:val="00506119"/>
    <w:rsid w:val="005107F5"/>
    <w:rsid w:val="0052681F"/>
    <w:rsid w:val="00550C08"/>
    <w:rsid w:val="00553725"/>
    <w:rsid w:val="00556070"/>
    <w:rsid w:val="00562186"/>
    <w:rsid w:val="00562C6E"/>
    <w:rsid w:val="00574C48"/>
    <w:rsid w:val="00577378"/>
    <w:rsid w:val="005810FC"/>
    <w:rsid w:val="0058197A"/>
    <w:rsid w:val="00582A60"/>
    <w:rsid w:val="00582D74"/>
    <w:rsid w:val="00584641"/>
    <w:rsid w:val="00591AAE"/>
    <w:rsid w:val="005939F3"/>
    <w:rsid w:val="005A4663"/>
    <w:rsid w:val="005B1EE2"/>
    <w:rsid w:val="005B7C00"/>
    <w:rsid w:val="005C1E11"/>
    <w:rsid w:val="005C1E35"/>
    <w:rsid w:val="005C23A5"/>
    <w:rsid w:val="005C6000"/>
    <w:rsid w:val="005C676D"/>
    <w:rsid w:val="005E05B3"/>
    <w:rsid w:val="005F2808"/>
    <w:rsid w:val="005F55A1"/>
    <w:rsid w:val="005F67CB"/>
    <w:rsid w:val="00613F3E"/>
    <w:rsid w:val="00616609"/>
    <w:rsid w:val="00616B07"/>
    <w:rsid w:val="0061745B"/>
    <w:rsid w:val="00624955"/>
    <w:rsid w:val="00627204"/>
    <w:rsid w:val="00631020"/>
    <w:rsid w:val="00637CB7"/>
    <w:rsid w:val="00640608"/>
    <w:rsid w:val="00655FA1"/>
    <w:rsid w:val="00656659"/>
    <w:rsid w:val="00660AED"/>
    <w:rsid w:val="00662558"/>
    <w:rsid w:val="00664CB0"/>
    <w:rsid w:val="0067137E"/>
    <w:rsid w:val="00676D49"/>
    <w:rsid w:val="006818FD"/>
    <w:rsid w:val="00684C5C"/>
    <w:rsid w:val="00690894"/>
    <w:rsid w:val="0069184B"/>
    <w:rsid w:val="00694606"/>
    <w:rsid w:val="006A360A"/>
    <w:rsid w:val="006A60BE"/>
    <w:rsid w:val="006A718E"/>
    <w:rsid w:val="006B1CEA"/>
    <w:rsid w:val="006B3460"/>
    <w:rsid w:val="006B413D"/>
    <w:rsid w:val="006B4914"/>
    <w:rsid w:val="006B60B3"/>
    <w:rsid w:val="006B7301"/>
    <w:rsid w:val="006B7E25"/>
    <w:rsid w:val="006C609A"/>
    <w:rsid w:val="006D41DE"/>
    <w:rsid w:val="006D530A"/>
    <w:rsid w:val="006D7A17"/>
    <w:rsid w:val="006F2A65"/>
    <w:rsid w:val="0070032B"/>
    <w:rsid w:val="00700E51"/>
    <w:rsid w:val="00702477"/>
    <w:rsid w:val="00706FEA"/>
    <w:rsid w:val="00713F96"/>
    <w:rsid w:val="0072078D"/>
    <w:rsid w:val="00732FA9"/>
    <w:rsid w:val="00734329"/>
    <w:rsid w:val="007473DC"/>
    <w:rsid w:val="00750F27"/>
    <w:rsid w:val="0076147D"/>
    <w:rsid w:val="00762BE5"/>
    <w:rsid w:val="00772A44"/>
    <w:rsid w:val="007813DE"/>
    <w:rsid w:val="00784D81"/>
    <w:rsid w:val="007869D5"/>
    <w:rsid w:val="007877DA"/>
    <w:rsid w:val="0079313A"/>
    <w:rsid w:val="0079414A"/>
    <w:rsid w:val="00794F81"/>
    <w:rsid w:val="007A35F4"/>
    <w:rsid w:val="007A59DE"/>
    <w:rsid w:val="007B0234"/>
    <w:rsid w:val="007C21BE"/>
    <w:rsid w:val="007C238A"/>
    <w:rsid w:val="007C5FFB"/>
    <w:rsid w:val="007F067F"/>
    <w:rsid w:val="007F3E8C"/>
    <w:rsid w:val="00803B79"/>
    <w:rsid w:val="00806BBB"/>
    <w:rsid w:val="0080741E"/>
    <w:rsid w:val="00807FFA"/>
    <w:rsid w:val="00814855"/>
    <w:rsid w:val="00815B7E"/>
    <w:rsid w:val="008164DE"/>
    <w:rsid w:val="00820ED2"/>
    <w:rsid w:val="008225D0"/>
    <w:rsid w:val="00825323"/>
    <w:rsid w:val="00830090"/>
    <w:rsid w:val="00832909"/>
    <w:rsid w:val="00832E4F"/>
    <w:rsid w:val="00846F3F"/>
    <w:rsid w:val="00850901"/>
    <w:rsid w:val="00861123"/>
    <w:rsid w:val="0086519C"/>
    <w:rsid w:val="008654B7"/>
    <w:rsid w:val="008717D1"/>
    <w:rsid w:val="008755F6"/>
    <w:rsid w:val="0088096C"/>
    <w:rsid w:val="008814DE"/>
    <w:rsid w:val="008968A2"/>
    <w:rsid w:val="008A088E"/>
    <w:rsid w:val="008A3E3C"/>
    <w:rsid w:val="008A526C"/>
    <w:rsid w:val="008A590C"/>
    <w:rsid w:val="008A6114"/>
    <w:rsid w:val="008B39DD"/>
    <w:rsid w:val="008B7D6B"/>
    <w:rsid w:val="008C3A0A"/>
    <w:rsid w:val="008C5D0B"/>
    <w:rsid w:val="008C67CB"/>
    <w:rsid w:val="008C6DCF"/>
    <w:rsid w:val="008D1D84"/>
    <w:rsid w:val="008D2A10"/>
    <w:rsid w:val="008D3560"/>
    <w:rsid w:val="008D39DA"/>
    <w:rsid w:val="008D3E3A"/>
    <w:rsid w:val="008D6281"/>
    <w:rsid w:val="008E0C1A"/>
    <w:rsid w:val="008E195D"/>
    <w:rsid w:val="009027F9"/>
    <w:rsid w:val="00905368"/>
    <w:rsid w:val="00910B6A"/>
    <w:rsid w:val="00911A8D"/>
    <w:rsid w:val="00914E3D"/>
    <w:rsid w:val="009252DF"/>
    <w:rsid w:val="00934973"/>
    <w:rsid w:val="00934C07"/>
    <w:rsid w:val="009451F9"/>
    <w:rsid w:val="0094651B"/>
    <w:rsid w:val="00946A03"/>
    <w:rsid w:val="0095785D"/>
    <w:rsid w:val="0096549F"/>
    <w:rsid w:val="00965DBB"/>
    <w:rsid w:val="00974B10"/>
    <w:rsid w:val="009753F4"/>
    <w:rsid w:val="00976126"/>
    <w:rsid w:val="00982146"/>
    <w:rsid w:val="00982C55"/>
    <w:rsid w:val="0098752D"/>
    <w:rsid w:val="00990516"/>
    <w:rsid w:val="009913BC"/>
    <w:rsid w:val="0099780D"/>
    <w:rsid w:val="009A0649"/>
    <w:rsid w:val="009A10EE"/>
    <w:rsid w:val="009A62A2"/>
    <w:rsid w:val="009B4EA5"/>
    <w:rsid w:val="009C4525"/>
    <w:rsid w:val="009C5D53"/>
    <w:rsid w:val="009E2C28"/>
    <w:rsid w:val="009F06F3"/>
    <w:rsid w:val="009F1B4B"/>
    <w:rsid w:val="009F2C87"/>
    <w:rsid w:val="009F404F"/>
    <w:rsid w:val="00A00F92"/>
    <w:rsid w:val="00A11CBD"/>
    <w:rsid w:val="00A12605"/>
    <w:rsid w:val="00A1383D"/>
    <w:rsid w:val="00A13A6B"/>
    <w:rsid w:val="00A23B75"/>
    <w:rsid w:val="00A27656"/>
    <w:rsid w:val="00A308D4"/>
    <w:rsid w:val="00A30B8A"/>
    <w:rsid w:val="00A327CA"/>
    <w:rsid w:val="00A404C2"/>
    <w:rsid w:val="00A425DD"/>
    <w:rsid w:val="00A44EF3"/>
    <w:rsid w:val="00A514FD"/>
    <w:rsid w:val="00A518BF"/>
    <w:rsid w:val="00A524A8"/>
    <w:rsid w:val="00A539F0"/>
    <w:rsid w:val="00A5429A"/>
    <w:rsid w:val="00A57BFA"/>
    <w:rsid w:val="00A602EA"/>
    <w:rsid w:val="00A60581"/>
    <w:rsid w:val="00A7036C"/>
    <w:rsid w:val="00A828B6"/>
    <w:rsid w:val="00A82F35"/>
    <w:rsid w:val="00A91B92"/>
    <w:rsid w:val="00A93A2F"/>
    <w:rsid w:val="00A955E4"/>
    <w:rsid w:val="00A968FC"/>
    <w:rsid w:val="00AA1E9E"/>
    <w:rsid w:val="00AA694E"/>
    <w:rsid w:val="00AB335C"/>
    <w:rsid w:val="00AB5196"/>
    <w:rsid w:val="00AB5758"/>
    <w:rsid w:val="00AD1736"/>
    <w:rsid w:val="00AD74EE"/>
    <w:rsid w:val="00AE19D4"/>
    <w:rsid w:val="00AE40D2"/>
    <w:rsid w:val="00AE5FC5"/>
    <w:rsid w:val="00AF19B9"/>
    <w:rsid w:val="00AF2049"/>
    <w:rsid w:val="00AF5CC5"/>
    <w:rsid w:val="00AF7015"/>
    <w:rsid w:val="00AF7324"/>
    <w:rsid w:val="00B04DBD"/>
    <w:rsid w:val="00B11168"/>
    <w:rsid w:val="00B25706"/>
    <w:rsid w:val="00B26FCA"/>
    <w:rsid w:val="00B27285"/>
    <w:rsid w:val="00B32372"/>
    <w:rsid w:val="00B33C9F"/>
    <w:rsid w:val="00B37B2C"/>
    <w:rsid w:val="00B44245"/>
    <w:rsid w:val="00B5466D"/>
    <w:rsid w:val="00B6170D"/>
    <w:rsid w:val="00B63629"/>
    <w:rsid w:val="00B65490"/>
    <w:rsid w:val="00B734CB"/>
    <w:rsid w:val="00B73745"/>
    <w:rsid w:val="00B74411"/>
    <w:rsid w:val="00B744FC"/>
    <w:rsid w:val="00B75C2C"/>
    <w:rsid w:val="00B77C27"/>
    <w:rsid w:val="00B81843"/>
    <w:rsid w:val="00B81945"/>
    <w:rsid w:val="00B827CD"/>
    <w:rsid w:val="00B878B2"/>
    <w:rsid w:val="00B932E8"/>
    <w:rsid w:val="00BB1333"/>
    <w:rsid w:val="00BC497D"/>
    <w:rsid w:val="00BD6E1A"/>
    <w:rsid w:val="00BE4628"/>
    <w:rsid w:val="00BF0909"/>
    <w:rsid w:val="00BF17FD"/>
    <w:rsid w:val="00C001BF"/>
    <w:rsid w:val="00C00252"/>
    <w:rsid w:val="00C0641D"/>
    <w:rsid w:val="00C07833"/>
    <w:rsid w:val="00C15CDA"/>
    <w:rsid w:val="00C2086D"/>
    <w:rsid w:val="00C27BA5"/>
    <w:rsid w:val="00C3575A"/>
    <w:rsid w:val="00C36B5F"/>
    <w:rsid w:val="00C42855"/>
    <w:rsid w:val="00C42CD0"/>
    <w:rsid w:val="00C43AB6"/>
    <w:rsid w:val="00C45C6F"/>
    <w:rsid w:val="00C46373"/>
    <w:rsid w:val="00C569BB"/>
    <w:rsid w:val="00C57942"/>
    <w:rsid w:val="00C850F7"/>
    <w:rsid w:val="00C85102"/>
    <w:rsid w:val="00C90820"/>
    <w:rsid w:val="00C932E4"/>
    <w:rsid w:val="00C957E2"/>
    <w:rsid w:val="00C96A74"/>
    <w:rsid w:val="00C97977"/>
    <w:rsid w:val="00CA2459"/>
    <w:rsid w:val="00CA29C9"/>
    <w:rsid w:val="00CB395F"/>
    <w:rsid w:val="00CB3E74"/>
    <w:rsid w:val="00CB4F15"/>
    <w:rsid w:val="00CB6C7B"/>
    <w:rsid w:val="00CC3A4F"/>
    <w:rsid w:val="00CC6EA4"/>
    <w:rsid w:val="00CC791D"/>
    <w:rsid w:val="00CD11F0"/>
    <w:rsid w:val="00CF351F"/>
    <w:rsid w:val="00CF5825"/>
    <w:rsid w:val="00D0685D"/>
    <w:rsid w:val="00D52EFF"/>
    <w:rsid w:val="00D63392"/>
    <w:rsid w:val="00D65DF4"/>
    <w:rsid w:val="00D67747"/>
    <w:rsid w:val="00D70EC9"/>
    <w:rsid w:val="00D72A8B"/>
    <w:rsid w:val="00D72C93"/>
    <w:rsid w:val="00D76036"/>
    <w:rsid w:val="00D76D18"/>
    <w:rsid w:val="00D82D73"/>
    <w:rsid w:val="00D83848"/>
    <w:rsid w:val="00D83BA3"/>
    <w:rsid w:val="00D83FBA"/>
    <w:rsid w:val="00D90C14"/>
    <w:rsid w:val="00D919F2"/>
    <w:rsid w:val="00D924D2"/>
    <w:rsid w:val="00DA1D59"/>
    <w:rsid w:val="00DA28AF"/>
    <w:rsid w:val="00DA3645"/>
    <w:rsid w:val="00DA4994"/>
    <w:rsid w:val="00DA53A0"/>
    <w:rsid w:val="00DA6BE0"/>
    <w:rsid w:val="00DB514D"/>
    <w:rsid w:val="00DB6405"/>
    <w:rsid w:val="00DC3959"/>
    <w:rsid w:val="00DC50BC"/>
    <w:rsid w:val="00DD222D"/>
    <w:rsid w:val="00DD2D99"/>
    <w:rsid w:val="00DE13B3"/>
    <w:rsid w:val="00DE3E24"/>
    <w:rsid w:val="00DF15FB"/>
    <w:rsid w:val="00DF7005"/>
    <w:rsid w:val="00DF774A"/>
    <w:rsid w:val="00DF7811"/>
    <w:rsid w:val="00E02F62"/>
    <w:rsid w:val="00E14B02"/>
    <w:rsid w:val="00E207BB"/>
    <w:rsid w:val="00E25942"/>
    <w:rsid w:val="00E325A8"/>
    <w:rsid w:val="00E32880"/>
    <w:rsid w:val="00E34A6E"/>
    <w:rsid w:val="00E36CBF"/>
    <w:rsid w:val="00E40410"/>
    <w:rsid w:val="00E4780E"/>
    <w:rsid w:val="00E504A5"/>
    <w:rsid w:val="00E57C2F"/>
    <w:rsid w:val="00E72AEB"/>
    <w:rsid w:val="00E74164"/>
    <w:rsid w:val="00E74177"/>
    <w:rsid w:val="00E82356"/>
    <w:rsid w:val="00E82FC0"/>
    <w:rsid w:val="00E91F60"/>
    <w:rsid w:val="00E92591"/>
    <w:rsid w:val="00E93183"/>
    <w:rsid w:val="00E93379"/>
    <w:rsid w:val="00E94C7F"/>
    <w:rsid w:val="00EA2533"/>
    <w:rsid w:val="00EA54D8"/>
    <w:rsid w:val="00EA6DC4"/>
    <w:rsid w:val="00EC0651"/>
    <w:rsid w:val="00EC0E92"/>
    <w:rsid w:val="00ED3ADA"/>
    <w:rsid w:val="00EE7205"/>
    <w:rsid w:val="00EF1CD0"/>
    <w:rsid w:val="00EF5679"/>
    <w:rsid w:val="00F02C3B"/>
    <w:rsid w:val="00F03BE7"/>
    <w:rsid w:val="00F06239"/>
    <w:rsid w:val="00F07FF0"/>
    <w:rsid w:val="00F13827"/>
    <w:rsid w:val="00F17ECE"/>
    <w:rsid w:val="00F3533B"/>
    <w:rsid w:val="00F3687A"/>
    <w:rsid w:val="00F42D94"/>
    <w:rsid w:val="00F46B27"/>
    <w:rsid w:val="00F4756B"/>
    <w:rsid w:val="00F47CAD"/>
    <w:rsid w:val="00F62DBE"/>
    <w:rsid w:val="00F62F09"/>
    <w:rsid w:val="00F63A79"/>
    <w:rsid w:val="00F653E3"/>
    <w:rsid w:val="00F80A8E"/>
    <w:rsid w:val="00F837AD"/>
    <w:rsid w:val="00F92090"/>
    <w:rsid w:val="00F9425B"/>
    <w:rsid w:val="00FA1ED9"/>
    <w:rsid w:val="00FA2EFC"/>
    <w:rsid w:val="00FA6368"/>
    <w:rsid w:val="00FA7966"/>
    <w:rsid w:val="00FB1B80"/>
    <w:rsid w:val="00FB4BAC"/>
    <w:rsid w:val="00FB4DBD"/>
    <w:rsid w:val="00FB5A33"/>
    <w:rsid w:val="00FC0300"/>
    <w:rsid w:val="00FC3CC7"/>
    <w:rsid w:val="00FC4F13"/>
    <w:rsid w:val="00FC6C3D"/>
    <w:rsid w:val="00FD1A99"/>
    <w:rsid w:val="00FD454B"/>
    <w:rsid w:val="00FE2A62"/>
    <w:rsid w:val="00FE6974"/>
    <w:rsid w:val="00FF0312"/>
    <w:rsid w:val="00FF5142"/>
    <w:rsid w:val="00FF5EB5"/>
    <w:rsid w:val="00FF65E4"/>
    <w:rsid w:val="00FF7B4C"/>
    <w:rsid w:val="01F425F4"/>
    <w:rsid w:val="03196C0B"/>
    <w:rsid w:val="05B156C3"/>
    <w:rsid w:val="08C20AF5"/>
    <w:rsid w:val="09D4480D"/>
    <w:rsid w:val="0A5D3F8A"/>
    <w:rsid w:val="0D467D60"/>
    <w:rsid w:val="0D7A0BE3"/>
    <w:rsid w:val="0DF33929"/>
    <w:rsid w:val="0FC72A45"/>
    <w:rsid w:val="13FFF794"/>
    <w:rsid w:val="14A7431C"/>
    <w:rsid w:val="168719B6"/>
    <w:rsid w:val="18254EAA"/>
    <w:rsid w:val="183E0A52"/>
    <w:rsid w:val="190237B0"/>
    <w:rsid w:val="1A20765F"/>
    <w:rsid w:val="1BD1237D"/>
    <w:rsid w:val="1E4D4C5D"/>
    <w:rsid w:val="1E863EB3"/>
    <w:rsid w:val="1FDB474A"/>
    <w:rsid w:val="216D547E"/>
    <w:rsid w:val="22430B11"/>
    <w:rsid w:val="250771D4"/>
    <w:rsid w:val="25E70D06"/>
    <w:rsid w:val="28562DBC"/>
    <w:rsid w:val="2A024BE4"/>
    <w:rsid w:val="2A852BBF"/>
    <w:rsid w:val="2B95478C"/>
    <w:rsid w:val="2C065E5E"/>
    <w:rsid w:val="2C1A398D"/>
    <w:rsid w:val="2CF93B59"/>
    <w:rsid w:val="2E2E01A5"/>
    <w:rsid w:val="2F13072D"/>
    <w:rsid w:val="2F202185"/>
    <w:rsid w:val="2FC50BF2"/>
    <w:rsid w:val="31024D5B"/>
    <w:rsid w:val="330246BF"/>
    <w:rsid w:val="332639D4"/>
    <w:rsid w:val="336934DD"/>
    <w:rsid w:val="33975F4A"/>
    <w:rsid w:val="33C708DD"/>
    <w:rsid w:val="36506E5A"/>
    <w:rsid w:val="36564C5D"/>
    <w:rsid w:val="369FF400"/>
    <w:rsid w:val="36E34814"/>
    <w:rsid w:val="36E821CB"/>
    <w:rsid w:val="38F24FC9"/>
    <w:rsid w:val="394B5D78"/>
    <w:rsid w:val="3AED1DD0"/>
    <w:rsid w:val="3B0C0AD1"/>
    <w:rsid w:val="3BFBE028"/>
    <w:rsid w:val="3D611B06"/>
    <w:rsid w:val="3DDBC3EC"/>
    <w:rsid w:val="3DFF8B7A"/>
    <w:rsid w:val="3FEDAE46"/>
    <w:rsid w:val="3FFFE7AC"/>
    <w:rsid w:val="40117F25"/>
    <w:rsid w:val="40245E01"/>
    <w:rsid w:val="40400AC2"/>
    <w:rsid w:val="40BB42ED"/>
    <w:rsid w:val="410E6620"/>
    <w:rsid w:val="418F6093"/>
    <w:rsid w:val="427D4055"/>
    <w:rsid w:val="45641642"/>
    <w:rsid w:val="45EB788E"/>
    <w:rsid w:val="48151214"/>
    <w:rsid w:val="490A31F9"/>
    <w:rsid w:val="4B953C59"/>
    <w:rsid w:val="4C610E28"/>
    <w:rsid w:val="4C93D4D6"/>
    <w:rsid w:val="4D2A6052"/>
    <w:rsid w:val="4DBD00E8"/>
    <w:rsid w:val="4E0B44D5"/>
    <w:rsid w:val="4EEBB8FF"/>
    <w:rsid w:val="4F406DD8"/>
    <w:rsid w:val="4F4546EC"/>
    <w:rsid w:val="4FFFE867"/>
    <w:rsid w:val="50920B89"/>
    <w:rsid w:val="541C7DAF"/>
    <w:rsid w:val="54ED44E0"/>
    <w:rsid w:val="55957278"/>
    <w:rsid w:val="568C7522"/>
    <w:rsid w:val="57A14BE2"/>
    <w:rsid w:val="58155EA7"/>
    <w:rsid w:val="59C607D5"/>
    <w:rsid w:val="5B670C7C"/>
    <w:rsid w:val="5BFFB8E3"/>
    <w:rsid w:val="5C6F23E5"/>
    <w:rsid w:val="5D604648"/>
    <w:rsid w:val="5D6B33CB"/>
    <w:rsid w:val="5DFF22E1"/>
    <w:rsid w:val="5ED4BC48"/>
    <w:rsid w:val="5EFAA166"/>
    <w:rsid w:val="5FF7641F"/>
    <w:rsid w:val="623A4432"/>
    <w:rsid w:val="62C41B03"/>
    <w:rsid w:val="62E20613"/>
    <w:rsid w:val="63B863C4"/>
    <w:rsid w:val="64CF563B"/>
    <w:rsid w:val="651D20BE"/>
    <w:rsid w:val="66867689"/>
    <w:rsid w:val="6A3D5848"/>
    <w:rsid w:val="6A974A0A"/>
    <w:rsid w:val="6B124F44"/>
    <w:rsid w:val="6B933A2F"/>
    <w:rsid w:val="6D81546E"/>
    <w:rsid w:val="6DDB2806"/>
    <w:rsid w:val="6DEFC9D6"/>
    <w:rsid w:val="6EB53A34"/>
    <w:rsid w:val="6FEC7616"/>
    <w:rsid w:val="6FF96E5C"/>
    <w:rsid w:val="6FFB56D4"/>
    <w:rsid w:val="72A64507"/>
    <w:rsid w:val="748F3322"/>
    <w:rsid w:val="7504000A"/>
    <w:rsid w:val="757FEE5B"/>
    <w:rsid w:val="77676EAF"/>
    <w:rsid w:val="778D3603"/>
    <w:rsid w:val="77F734B3"/>
    <w:rsid w:val="77FF9D20"/>
    <w:rsid w:val="7A973278"/>
    <w:rsid w:val="7AFAF84F"/>
    <w:rsid w:val="7BEDB2C1"/>
    <w:rsid w:val="7BFC6782"/>
    <w:rsid w:val="7CDF134F"/>
    <w:rsid w:val="7DFB45BF"/>
    <w:rsid w:val="7E9E4F48"/>
    <w:rsid w:val="7EEFDE39"/>
    <w:rsid w:val="7EFDACDC"/>
    <w:rsid w:val="7F079A03"/>
    <w:rsid w:val="7F1E0D19"/>
    <w:rsid w:val="7F472039"/>
    <w:rsid w:val="7F5D4767"/>
    <w:rsid w:val="7F9335F9"/>
    <w:rsid w:val="7FADFC2F"/>
    <w:rsid w:val="7FD8AA43"/>
    <w:rsid w:val="7FF7E261"/>
    <w:rsid w:val="7FFB8534"/>
    <w:rsid w:val="97F18C72"/>
    <w:rsid w:val="9E8B2DF4"/>
    <w:rsid w:val="9FF3AC5A"/>
    <w:rsid w:val="B5F905A0"/>
    <w:rsid w:val="B7FE5C80"/>
    <w:rsid w:val="B8E78918"/>
    <w:rsid w:val="BAF7520B"/>
    <w:rsid w:val="BB55C592"/>
    <w:rsid w:val="BBBCCD5D"/>
    <w:rsid w:val="BF6FEF37"/>
    <w:rsid w:val="BFF90C75"/>
    <w:rsid w:val="CDFE34C1"/>
    <w:rsid w:val="D3FFBBED"/>
    <w:rsid w:val="D49E9F90"/>
    <w:rsid w:val="D77DBBC7"/>
    <w:rsid w:val="D7BB6BF1"/>
    <w:rsid w:val="D7ECE315"/>
    <w:rsid w:val="DA7EB06F"/>
    <w:rsid w:val="DAED72CE"/>
    <w:rsid w:val="DBAD69C3"/>
    <w:rsid w:val="DDDB46FD"/>
    <w:rsid w:val="DDDFB56E"/>
    <w:rsid w:val="DDEFA98B"/>
    <w:rsid w:val="DE428FCE"/>
    <w:rsid w:val="E317A35D"/>
    <w:rsid w:val="E6FD0B53"/>
    <w:rsid w:val="EABB3693"/>
    <w:rsid w:val="EE6BFCB7"/>
    <w:rsid w:val="EED76B6E"/>
    <w:rsid w:val="EEFB6793"/>
    <w:rsid w:val="EF7FFFC3"/>
    <w:rsid w:val="EFDAF841"/>
    <w:rsid w:val="F5F5DE63"/>
    <w:rsid w:val="F65F81EE"/>
    <w:rsid w:val="F775CC21"/>
    <w:rsid w:val="F7FA67A9"/>
    <w:rsid w:val="F97AA0D7"/>
    <w:rsid w:val="F9AD2B65"/>
    <w:rsid w:val="FABB3F55"/>
    <w:rsid w:val="FAFF493D"/>
    <w:rsid w:val="FBB95A7F"/>
    <w:rsid w:val="FBF0FCBD"/>
    <w:rsid w:val="FBFFE116"/>
    <w:rsid w:val="FDEF1E68"/>
    <w:rsid w:val="FDFB78A1"/>
    <w:rsid w:val="FDFF191C"/>
    <w:rsid w:val="FE8EE920"/>
    <w:rsid w:val="FE931EDD"/>
    <w:rsid w:val="FEC7EF2C"/>
    <w:rsid w:val="FEF7CB4A"/>
    <w:rsid w:val="FF774C1D"/>
    <w:rsid w:val="FFB3ABBB"/>
    <w:rsid w:val="FFB668A1"/>
    <w:rsid w:val="FFECA97D"/>
    <w:rsid w:val="FFF3E5DB"/>
    <w:rsid w:val="FFFD795D"/>
    <w:rsid w:val="FFFF23DD"/>
    <w:rsid w:val="FFFFCC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qFormat="1"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nhideWhenUsed="0" w:uiPriority="99"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color w:val="000000"/>
      <w:sz w:val="3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line="500" w:lineRule="exact"/>
    </w:pPr>
    <w:rPr>
      <w:sz w:val="30"/>
    </w:rPr>
  </w:style>
  <w:style w:type="paragraph" w:styleId="3">
    <w:name w:val="Body Text Indent"/>
    <w:basedOn w:val="1"/>
    <w:qFormat/>
    <w:uiPriority w:val="0"/>
    <w:pPr>
      <w:ind w:firstLine="640" w:firstLineChars="200"/>
    </w:pPr>
  </w:style>
  <w:style w:type="paragraph" w:styleId="4">
    <w:name w:val="Plain Text"/>
    <w:basedOn w:val="1"/>
    <w:next w:val="5"/>
    <w:qFormat/>
    <w:uiPriority w:val="0"/>
    <w:rPr>
      <w:rFonts w:hAnsi="Courier New"/>
    </w:rPr>
  </w:style>
  <w:style w:type="paragraph" w:styleId="5">
    <w:name w:val="List Number 5"/>
    <w:basedOn w:val="1"/>
    <w:semiHidden/>
    <w:unhideWhenUsed/>
    <w:qFormat/>
    <w:uiPriority w:val="0"/>
    <w:pPr>
      <w:numPr>
        <w:ilvl w:val="0"/>
        <w:numId w:val="1"/>
      </w:numPr>
    </w:pPr>
  </w:style>
  <w:style w:type="paragraph" w:styleId="6">
    <w:name w:val="Body Text Indent 2"/>
    <w:basedOn w:val="1"/>
    <w:qFormat/>
    <w:uiPriority w:val="0"/>
    <w:pPr>
      <w:ind w:firstLine="600"/>
    </w:pPr>
  </w:style>
  <w:style w:type="paragraph" w:styleId="7">
    <w:name w:val="Balloon Text"/>
    <w:basedOn w:val="1"/>
    <w:semiHidden/>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First Indent 2"/>
    <w:basedOn w:val="3"/>
    <w:qFormat/>
    <w:uiPriority w:val="99"/>
    <w:pPr>
      <w:ind w:firstLine="420"/>
    </w:pPr>
  </w:style>
  <w:style w:type="character" w:styleId="13">
    <w:name w:val="page number"/>
    <w:basedOn w:val="12"/>
    <w:qFormat/>
    <w:uiPriority w:val="0"/>
    <w:rPr>
      <w:rFonts w:ascii="Tahoma" w:hAnsi="Tahoma" w:eastAsia="宋体"/>
      <w:color w:val="auto"/>
      <w:kern w:val="2"/>
      <w:sz w:val="24"/>
    </w:rPr>
  </w:style>
  <w:style w:type="character" w:styleId="14">
    <w:name w:val="Hyperlink"/>
    <w:qFormat/>
    <w:uiPriority w:val="0"/>
    <w:rPr>
      <w:rFonts w:ascii="Tahoma" w:hAnsi="Tahoma" w:eastAsia="宋体"/>
      <w:color w:val="0000FF"/>
      <w:kern w:val="2"/>
      <w:sz w:val="24"/>
      <w:u w:val="single"/>
    </w:rPr>
  </w:style>
  <w:style w:type="paragraph" w:customStyle="1" w:styleId="15">
    <w:name w:val="Char Char"/>
    <w:basedOn w:val="1"/>
    <w:qFormat/>
    <w:uiPriority w:val="0"/>
    <w:rPr>
      <w:rFonts w:ascii="Times New Roman" w:eastAsia="宋体"/>
      <w:color w:val="auto"/>
      <w:kern w:val="2"/>
      <w:sz w:val="21"/>
      <w:szCs w:val="24"/>
    </w:rPr>
  </w:style>
  <w:style w:type="paragraph" w:customStyle="1" w:styleId="16">
    <w:name w:val="_Style 3"/>
    <w:basedOn w:val="1"/>
    <w:qFormat/>
    <w:uiPriority w:val="0"/>
  </w:style>
  <w:style w:type="paragraph" w:customStyle="1" w:styleId="17">
    <w:name w:val="Char Char8"/>
    <w:basedOn w:val="1"/>
    <w:qFormat/>
    <w:uiPriority w:val="0"/>
    <w:rPr>
      <w:rFonts w:ascii="Times New Roman" w:eastAsia="宋体"/>
      <w:color w:val="auto"/>
      <w:kern w:val="2"/>
      <w:sz w:val="21"/>
      <w:szCs w:val="24"/>
    </w:rPr>
  </w:style>
  <w:style w:type="paragraph" w:customStyle="1" w:styleId="18">
    <w:name w:val="Char"/>
    <w:basedOn w:val="1"/>
    <w:qFormat/>
    <w:uiPriority w:val="0"/>
    <w:rPr>
      <w:rFonts w:ascii="Tahoma" w:hAnsi="Tahoma" w:eastAsia="宋体"/>
      <w:color w:val="auto"/>
      <w:kern w:val="2"/>
      <w:sz w:val="24"/>
    </w:rPr>
  </w:style>
  <w:style w:type="character" w:customStyle="1" w:styleId="19">
    <w:name w:val="未处理的提及1"/>
    <w:basedOn w:val="12"/>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7</Pages>
  <Words>1039</Words>
  <Characters>1154</Characters>
  <Lines>72</Lines>
  <Paragraphs>66</Paragraphs>
  <TotalTime>6</TotalTime>
  <ScaleCrop>false</ScaleCrop>
  <LinksUpToDate>false</LinksUpToDate>
  <CharactersWithSpaces>2127</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2021-11-15T10:00:00Z</dcterms:created>
  <dc:creator>未羽</dc:creator>
  <cp:lastModifiedBy>市资源规划局</cp:lastModifiedBy>
  <cp:lastPrinted>2024-04-24T19:20:00Z</cp:lastPrinted>
  <dcterms:modified xsi:type="dcterms:W3CDTF">2026-09-09T11:25:05Z</dcterms:modified>
  <dc:title>国有建设用地使用权出让公告</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D88BF1FE1902CA8527BB0A691B1DC71B_43</vt:lpwstr>
  </property>
</Properties>
</file>