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方正黑体_GBK" w:eastAsia="黑体" w:cs="Times New Roman"/>
          <w:sz w:val="32"/>
          <w:szCs w:val="32"/>
        </w:rPr>
      </w:pPr>
      <w:r>
        <w:rPr>
          <w:rFonts w:hint="eastAsia" w:ascii="黑体" w:hAnsi="方正黑体_GBK" w:eastAsia="黑体" w:cs="黑体"/>
          <w:sz w:val="32"/>
          <w:szCs w:val="32"/>
        </w:rPr>
        <w:t>附件</w:t>
      </w:r>
      <w:r>
        <w:rPr>
          <w:rFonts w:ascii="黑体" w:hAnsi="方正黑体_GBK" w:eastAsia="黑体" w:cs="黑体"/>
          <w:sz w:val="32"/>
          <w:szCs w:val="32"/>
        </w:rPr>
        <w:t>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年晋江、洛阳江上游水资源保护补偿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专项资金水土流失综合治理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绩效目标表（第二批）</w:t>
      </w:r>
    </w:p>
    <w:bookmarkEnd w:id="0"/>
    <w:p>
      <w:pPr>
        <w:spacing w:line="580" w:lineRule="exact"/>
        <w:rPr>
          <w:rFonts w:ascii="方正小标宋简体" w:hAnsi="方正小标宋简体" w:eastAsia="方正小标宋简体" w:cs="Times New Roman"/>
          <w:sz w:val="44"/>
          <w:szCs w:val="44"/>
        </w:rPr>
      </w:pPr>
    </w:p>
    <w:tbl>
      <w:tblPr>
        <w:tblStyle w:val="2"/>
        <w:tblW w:w="0" w:type="auto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56"/>
        <w:gridCol w:w="2256"/>
        <w:gridCol w:w="2257"/>
        <w:gridCol w:w="2257"/>
        <w:gridCol w:w="22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县（市、区）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质量指标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时效指标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生态效益指标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满意度指标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225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工程验收合格率（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%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水土流失治理项目已建工程是否存在质量问题（是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否）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截至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2024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月底，投资完成比例（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%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完成水土流失综合治理面积（亩）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44"/>
                <w:szCs w:val="44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项目受益群众满意度（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%</w:t>
            </w: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洛江区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南安市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3600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安溪县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3100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永春县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3800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≥90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德化县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2000</w:t>
            </w:r>
          </w:p>
        </w:tc>
        <w:tc>
          <w:tcPr>
            <w:tcW w:w="22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≥90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jEzODhmYmI1MjQyNzVlNGQxODExMTJjYjk5YzUifQ=="/>
  </w:docVars>
  <w:rsids>
    <w:rsidRoot w:val="1A7C2C73"/>
    <w:rsid w:val="1A7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2023-10-25T07:11:00Z</dcterms:created>
  <dc:creator>杨明坤</dc:creator>
  <cp:lastModifiedBy>杨明坤</cp:lastModifiedBy>
  <dcterms:modified xsi:type="dcterms:W3CDTF">2023-10-25T07:12:04Z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A129D9287EB945D1998B749E80549B70_11</vt:lpwstr>
  </property>
</Properties>
</file>