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0"/>
          <w:tab w:val="left" w:pos="7360"/>
          <w:tab w:val="left" w:pos="7520"/>
        </w:tabs>
        <w:snapToGrid w:val="0"/>
        <w:spacing w:line="580" w:lineRule="exac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附件2</w:t>
      </w:r>
      <w:bookmarkStart w:id="0" w:name="_GoBack"/>
      <w:bookmarkEnd w:id="0"/>
    </w:p>
    <w:p>
      <w:pPr>
        <w:spacing w:line="580" w:lineRule="exact"/>
        <w:rPr>
          <w:rFonts w:hint="eastAsia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2023年市级第六批水利专项资金绩效目标表</w:t>
      </w:r>
    </w:p>
    <w:p>
      <w:pPr>
        <w:spacing w:line="580" w:lineRule="exact"/>
        <w:rPr>
          <w:rFonts w:hint="eastAsia"/>
        </w:rPr>
      </w:pPr>
    </w:p>
    <w:tbl>
      <w:tblPr>
        <w:tblStyle w:val="2"/>
        <w:tblW w:w="9135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40"/>
        <w:gridCol w:w="937"/>
        <w:gridCol w:w="1098"/>
        <w:gridCol w:w="880"/>
        <w:gridCol w:w="1040"/>
        <w:gridCol w:w="960"/>
        <w:gridCol w:w="960"/>
        <w:gridCol w:w="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县（市、区）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4915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效益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指标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满意度指标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3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指标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服务对满意度指标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93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right="-83" w:rightChars="-26"/>
              <w:jc w:val="center"/>
              <w:rPr>
                <w:rFonts w:hint="eastAsia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spacing w:val="22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清</w:t>
            </w: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</w:rPr>
              <w:t>新流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域奖励</w:t>
            </w:r>
          </w:p>
          <w:p>
            <w:pPr>
              <w:widowControl/>
              <w:spacing w:line="300" w:lineRule="exact"/>
              <w:ind w:right="-83" w:rightChars="-26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项目数</w:t>
            </w:r>
          </w:p>
        </w:tc>
        <w:tc>
          <w:tcPr>
            <w:tcW w:w="109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pacing w:val="-12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2"/>
                <w:kern w:val="0"/>
                <w:sz w:val="21"/>
                <w:szCs w:val="21"/>
              </w:rPr>
              <w:t>2</w:t>
            </w:r>
            <w:r>
              <w:rPr>
                <w:spacing w:val="-12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pacing w:val="-12"/>
                <w:kern w:val="0"/>
                <w:sz w:val="21"/>
                <w:szCs w:val="21"/>
              </w:rPr>
              <w:t>外环保工</w:t>
            </w: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</w:rPr>
              <w:t>程流域恢复连通性项目县数</w:t>
            </w:r>
          </w:p>
        </w:tc>
        <w:tc>
          <w:tcPr>
            <w:tcW w:w="8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  <w:r>
              <w:rPr>
                <w:spacing w:val="22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供水水质符合标准</w:t>
            </w:r>
          </w:p>
        </w:tc>
        <w:tc>
          <w:tcPr>
            <w:tcW w:w="10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  <w:r>
              <w:rPr>
                <w:spacing w:val="22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水利工程质量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合格率</w:t>
            </w:r>
          </w:p>
        </w:tc>
        <w:tc>
          <w:tcPr>
            <w:tcW w:w="9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</w:t>
            </w:r>
            <w:r>
              <w:rPr>
                <w:spacing w:val="22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截至</w:t>
            </w:r>
            <w:r>
              <w:rPr>
                <w:rFonts w:hint="default" w:ascii="Times New Roman" w:hAnsi="Times New Roman" w:cs="Times New Roman"/>
                <w:spacing w:val="-12"/>
                <w:kern w:val="0"/>
                <w:sz w:val="21"/>
                <w:szCs w:val="21"/>
              </w:rPr>
              <w:t>2024年6月，投资完成比例</w:t>
            </w:r>
          </w:p>
        </w:tc>
        <w:tc>
          <w:tcPr>
            <w:tcW w:w="9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spacing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</w:t>
            </w:r>
            <w:r>
              <w:rPr>
                <w:spacing w:val="22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pacing w:val="-12"/>
                <w:kern w:val="0"/>
                <w:sz w:val="21"/>
                <w:szCs w:val="21"/>
              </w:rPr>
              <w:t>提升水利工程防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灾减灾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能力</w:t>
            </w:r>
          </w:p>
        </w:tc>
        <w:tc>
          <w:tcPr>
            <w:tcW w:w="9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  <w:r>
              <w:rPr>
                <w:spacing w:val="22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spacing w:val="-14"/>
                <w:kern w:val="0"/>
                <w:sz w:val="21"/>
                <w:szCs w:val="21"/>
              </w:rPr>
              <w:t>受益群众满意度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单位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万元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个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个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是/否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提升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市水利局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（石壁水库）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提升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洛江区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108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是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提升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泉港区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80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是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台商区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56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是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提升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晋江市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69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是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提升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南安市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630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是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提升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惠安县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139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是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提升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安溪县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330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永春县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168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是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提升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德化县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139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09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是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提升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≥90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jEzODhmYmI1MjQyNzVlNGQxODExMTJjYjk5YzUifQ=="/>
  </w:docVars>
  <w:rsids>
    <w:rsidRoot w:val="1CC33C1B"/>
    <w:rsid w:val="1CC3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2023-10-25T07:01:00Z</dcterms:created>
  <dc:creator>杨明坤</dc:creator>
  <cp:lastModifiedBy>杨明坤</cp:lastModifiedBy>
  <dcterms:modified xsi:type="dcterms:W3CDTF">2023-10-25T07:02:03Z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CD88ECF58DD94353906179498C253C75_11</vt:lpwstr>
  </property>
</Properties>
</file>