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652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年市级财政衔接推进乡村振兴补助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资金（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整镇推进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）分配方案及任务清单</w:t>
      </w:r>
    </w:p>
    <w:tbl>
      <w:tblPr>
        <w:tblStyle w:val="3"/>
        <w:tblpPr w:leftFromText="180" w:rightFromText="180" w:vertAnchor="text" w:horzAnchor="page" w:tblpX="1542" w:tblpY="204"/>
        <w:tblOverlap w:val="never"/>
        <w:tblW w:w="9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374"/>
        <w:gridCol w:w="1337"/>
        <w:gridCol w:w="4884"/>
      </w:tblGrid>
      <w:tr w14:paraId="15135209">
        <w:trPr>
          <w:trHeight w:val="971" w:hRule="exact"/>
        </w:trPr>
        <w:tc>
          <w:tcPr>
            <w:tcW w:w="1610" w:type="dxa"/>
            <w:noWrap w:val="0"/>
            <w:vAlign w:val="center"/>
          </w:tcPr>
          <w:p w14:paraId="677F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县（市、区）</w:t>
            </w:r>
          </w:p>
        </w:tc>
        <w:tc>
          <w:tcPr>
            <w:tcW w:w="1374" w:type="dxa"/>
            <w:noWrap w:val="0"/>
            <w:vAlign w:val="center"/>
          </w:tcPr>
          <w:p w14:paraId="3262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奖补金额（万元）</w:t>
            </w:r>
          </w:p>
        </w:tc>
        <w:tc>
          <w:tcPr>
            <w:tcW w:w="1337" w:type="dxa"/>
            <w:noWrap w:val="0"/>
            <w:vAlign w:val="center"/>
          </w:tcPr>
          <w:p w14:paraId="50A0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带动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</w:t>
            </w:r>
          </w:p>
          <w:p w14:paraId="4751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次）</w:t>
            </w:r>
          </w:p>
        </w:tc>
        <w:tc>
          <w:tcPr>
            <w:tcW w:w="4884" w:type="dxa"/>
            <w:noWrap w:val="0"/>
            <w:vAlign w:val="center"/>
          </w:tcPr>
          <w:p w14:paraId="2D27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任务清单</w:t>
            </w:r>
          </w:p>
        </w:tc>
      </w:tr>
      <w:tr w14:paraId="50A14308">
        <w:trPr>
          <w:trHeight w:val="874" w:hRule="exact"/>
        </w:trPr>
        <w:tc>
          <w:tcPr>
            <w:tcW w:w="1610" w:type="dxa"/>
            <w:noWrap w:val="0"/>
            <w:vAlign w:val="center"/>
          </w:tcPr>
          <w:p w14:paraId="3FF2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洛江区</w:t>
            </w:r>
          </w:p>
        </w:tc>
        <w:tc>
          <w:tcPr>
            <w:tcW w:w="1374" w:type="dxa"/>
            <w:noWrap w:val="0"/>
            <w:vAlign w:val="center"/>
          </w:tcPr>
          <w:p w14:paraId="41A8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37" w:type="dxa"/>
            <w:noWrap w:val="0"/>
            <w:vAlign w:val="center"/>
          </w:tcPr>
          <w:p w14:paraId="7514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84" w:type="dxa"/>
            <w:noWrap w:val="0"/>
            <w:vAlign w:val="center"/>
          </w:tcPr>
          <w:p w14:paraId="4338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用于整镇推进项目建设奖补，项目预算总投资不低于36万元</w:t>
            </w:r>
          </w:p>
        </w:tc>
      </w:tr>
      <w:tr w14:paraId="4C442F19">
        <w:trPr>
          <w:trHeight w:val="886" w:hRule="exact"/>
        </w:trPr>
        <w:tc>
          <w:tcPr>
            <w:tcW w:w="1610" w:type="dxa"/>
            <w:noWrap w:val="0"/>
            <w:vAlign w:val="center"/>
          </w:tcPr>
          <w:p w14:paraId="7F00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南安市</w:t>
            </w:r>
          </w:p>
        </w:tc>
        <w:tc>
          <w:tcPr>
            <w:tcW w:w="1374" w:type="dxa"/>
            <w:noWrap w:val="0"/>
            <w:vAlign w:val="center"/>
          </w:tcPr>
          <w:p w14:paraId="5F65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37" w:type="dxa"/>
            <w:noWrap w:val="0"/>
            <w:vAlign w:val="center"/>
          </w:tcPr>
          <w:p w14:paraId="4732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84" w:type="dxa"/>
            <w:noWrap w:val="0"/>
            <w:vAlign w:val="center"/>
          </w:tcPr>
          <w:p w14:paraId="0640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用于整镇推进项目建设奖补，项目预算总投资不低于60万元</w:t>
            </w:r>
          </w:p>
        </w:tc>
      </w:tr>
      <w:tr w14:paraId="1AAC6545">
        <w:trPr>
          <w:trHeight w:val="1002" w:hRule="exact"/>
        </w:trPr>
        <w:tc>
          <w:tcPr>
            <w:tcW w:w="1610" w:type="dxa"/>
            <w:noWrap w:val="0"/>
            <w:vAlign w:val="center"/>
          </w:tcPr>
          <w:p w14:paraId="7152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安溪县</w:t>
            </w:r>
          </w:p>
        </w:tc>
        <w:tc>
          <w:tcPr>
            <w:tcW w:w="1374" w:type="dxa"/>
            <w:noWrap w:val="0"/>
            <w:vAlign w:val="center"/>
          </w:tcPr>
          <w:p w14:paraId="1A4A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37" w:type="dxa"/>
            <w:noWrap w:val="0"/>
            <w:vAlign w:val="center"/>
          </w:tcPr>
          <w:p w14:paraId="3C4E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84" w:type="dxa"/>
            <w:noWrap w:val="0"/>
            <w:vAlign w:val="center"/>
          </w:tcPr>
          <w:p w14:paraId="00FE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用于整镇推进项目建设奖补，项目预算总投资不低于72万元</w:t>
            </w:r>
          </w:p>
        </w:tc>
      </w:tr>
      <w:tr w14:paraId="3DB41BE8">
        <w:trPr>
          <w:trHeight w:val="1051" w:hRule="exact"/>
        </w:trPr>
        <w:tc>
          <w:tcPr>
            <w:tcW w:w="1610" w:type="dxa"/>
            <w:noWrap w:val="0"/>
            <w:vAlign w:val="center"/>
          </w:tcPr>
          <w:p w14:paraId="18D5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永春县</w:t>
            </w:r>
          </w:p>
        </w:tc>
        <w:tc>
          <w:tcPr>
            <w:tcW w:w="1374" w:type="dxa"/>
            <w:noWrap w:val="0"/>
            <w:vAlign w:val="center"/>
          </w:tcPr>
          <w:p w14:paraId="5BC2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37" w:type="dxa"/>
            <w:noWrap w:val="0"/>
            <w:vAlign w:val="center"/>
          </w:tcPr>
          <w:p w14:paraId="42A8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84" w:type="dxa"/>
            <w:noWrap w:val="0"/>
            <w:vAlign w:val="center"/>
          </w:tcPr>
          <w:p w14:paraId="5542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用于整镇推进项目建设奖补，项目预算总投资不低于72万元</w:t>
            </w:r>
          </w:p>
        </w:tc>
      </w:tr>
      <w:tr w14:paraId="577D1D0D">
        <w:trPr>
          <w:trHeight w:val="890" w:hRule="exact"/>
        </w:trPr>
        <w:tc>
          <w:tcPr>
            <w:tcW w:w="1610" w:type="dxa"/>
            <w:noWrap w:val="0"/>
            <w:vAlign w:val="center"/>
          </w:tcPr>
          <w:p w14:paraId="7FF2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4"/>
                <w:szCs w:val="24"/>
                <w:lang w:eastAsia="zh-CN"/>
              </w:rPr>
              <w:t>德化县</w:t>
            </w:r>
          </w:p>
        </w:tc>
        <w:tc>
          <w:tcPr>
            <w:tcW w:w="1374" w:type="dxa"/>
            <w:noWrap w:val="0"/>
            <w:vAlign w:val="center"/>
          </w:tcPr>
          <w:p w14:paraId="0210A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337" w:type="dxa"/>
            <w:noWrap w:val="0"/>
            <w:vAlign w:val="center"/>
          </w:tcPr>
          <w:p w14:paraId="1CD34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84" w:type="dxa"/>
            <w:noWrap w:val="0"/>
            <w:vAlign w:val="center"/>
          </w:tcPr>
          <w:p w14:paraId="3A11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用于整镇推进项目建设奖补，项目预算总投资不低于96万元</w:t>
            </w:r>
          </w:p>
        </w:tc>
      </w:tr>
      <w:tr w14:paraId="64DBFE4F">
        <w:trPr>
          <w:trHeight w:val="838" w:hRule="exact"/>
        </w:trPr>
        <w:tc>
          <w:tcPr>
            <w:tcW w:w="1610" w:type="dxa"/>
            <w:noWrap w:val="0"/>
            <w:vAlign w:val="center"/>
          </w:tcPr>
          <w:p w14:paraId="634A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合  计</w:t>
            </w:r>
          </w:p>
        </w:tc>
        <w:tc>
          <w:tcPr>
            <w:tcW w:w="1374" w:type="dxa"/>
            <w:noWrap w:val="0"/>
            <w:vAlign w:val="center"/>
          </w:tcPr>
          <w:p w14:paraId="7C15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337" w:type="dxa"/>
            <w:noWrap w:val="0"/>
            <w:vAlign w:val="center"/>
          </w:tcPr>
          <w:p w14:paraId="367D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84" w:type="dxa"/>
            <w:noWrap w:val="0"/>
            <w:vAlign w:val="center"/>
          </w:tcPr>
          <w:p w14:paraId="79EA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用于整镇推进项目建设奖补，项目预算总投资不低于336万元</w:t>
            </w:r>
          </w:p>
        </w:tc>
      </w:tr>
    </w:tbl>
    <w:p w14:paraId="2453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701" w:right="1474" w:bottom="1701" w:left="158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5FC88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73BB"/>
    <w:rsid w:val="118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16"/>
      <w:szCs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2026-04-17T09:40:00Z</dcterms:created>
  <dc:creator>拒绝游泳的鱼</dc:creator>
  <cp:lastModifiedBy>拒绝游泳的鱼</cp:lastModifiedBy>
  <dcterms:modified xsi:type="dcterms:W3CDTF">2026-04-17T09:41:16Z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3173D9843A2C477B811BB2093ACA7FBB_11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