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70F8A">
      <w:pPr>
        <w:snapToGrid w:val="0"/>
        <w:spacing w:line="580" w:lineRule="exact"/>
        <w:rPr>
          <w:rFonts w:ascii="黑体" w:eastAsia="黑体"/>
          <w:sz w:val="32"/>
          <w:szCs w:val="32"/>
        </w:rPr>
      </w:pPr>
      <w:r>
        <w:rPr>
          <w:rFonts w:hint="eastAsia" w:ascii="黑体" w:eastAsia="黑体" w:cs="黑体"/>
          <w:sz w:val="32"/>
          <w:szCs w:val="32"/>
        </w:rPr>
        <w:t>附件</w:t>
      </w:r>
    </w:p>
    <w:p w14:paraId="07E7B254">
      <w:pPr>
        <w:snapToGrid w:val="0"/>
        <w:spacing w:line="580" w:lineRule="exact"/>
        <w:rPr>
          <w:rFonts w:ascii="黑体" w:eastAsia="黑体"/>
        </w:rPr>
      </w:pPr>
    </w:p>
    <w:p w14:paraId="70BA9C36">
      <w:pPr>
        <w:snapToGrid w:val="0"/>
        <w:spacing w:line="580" w:lineRule="exact"/>
        <w:jc w:val="center"/>
        <w:rPr>
          <w:rFonts w:ascii="方正小标宋简体" w:hAnsi="华文宋体" w:eastAsia="方正小标宋简体"/>
          <w:color w:val="000000"/>
          <w:kern w:val="0"/>
          <w:sz w:val="44"/>
          <w:szCs w:val="44"/>
        </w:rPr>
      </w:pPr>
      <w:r>
        <w:rPr>
          <w:rFonts w:hint="eastAsia" w:ascii="方正小标宋简体" w:hAnsi="华文宋体" w:eastAsia="方正小标宋简体" w:cs="方正小标宋简体"/>
          <w:color w:val="000000"/>
          <w:kern w:val="0"/>
          <w:sz w:val="44"/>
          <w:szCs w:val="44"/>
        </w:rPr>
        <w:t>质量安全“双</w:t>
      </w:r>
      <w:bookmarkStart w:id="0" w:name="_GoBack"/>
      <w:bookmarkEnd w:id="0"/>
      <w:r>
        <w:rPr>
          <w:rFonts w:hint="eastAsia" w:ascii="方正小标宋简体" w:hAnsi="华文宋体" w:eastAsia="方正小标宋简体" w:cs="方正小标宋简体"/>
          <w:color w:val="000000"/>
          <w:kern w:val="0"/>
          <w:sz w:val="44"/>
          <w:szCs w:val="44"/>
        </w:rPr>
        <w:t>随机</w:t>
      </w:r>
      <w:r>
        <w:rPr>
          <w:rFonts w:hint="eastAsia" w:ascii="方正小标宋简体" w:hAnsi="华文宋体" w:eastAsia="方正小标宋简体" w:cs="方正小标宋简体"/>
          <w:color w:val="000000"/>
          <w:kern w:val="0"/>
          <w:sz w:val="44"/>
          <w:szCs w:val="44"/>
          <w:lang w:eastAsia="zh-CN"/>
        </w:rPr>
        <w:t>、</w:t>
      </w:r>
      <w:r>
        <w:rPr>
          <w:rFonts w:hint="eastAsia" w:ascii="方正小标宋简体" w:hAnsi="华文宋体" w:eastAsia="方正小标宋简体" w:cs="方正小标宋简体"/>
          <w:color w:val="000000"/>
          <w:kern w:val="0"/>
          <w:sz w:val="44"/>
          <w:szCs w:val="44"/>
        </w:rPr>
        <w:t>一公开”检查情况汇总表</w:t>
      </w:r>
    </w:p>
    <w:p w14:paraId="18FEC87E">
      <w:pPr>
        <w:snapToGrid w:val="0"/>
        <w:spacing w:line="580" w:lineRule="exact"/>
        <w:jc w:val="center"/>
        <w:rPr>
          <w:rFonts w:ascii="方正小标宋简体" w:hAnsi="华文宋体" w:eastAsia="方正小标宋简体"/>
          <w:color w:val="000000"/>
          <w:kern w:val="0"/>
          <w:sz w:val="44"/>
          <w:szCs w:val="44"/>
        </w:rPr>
      </w:pPr>
    </w:p>
    <w:tbl>
      <w:tblPr>
        <w:tblStyle w:val="2"/>
        <w:tblW w:w="9079" w:type="dxa"/>
        <w:tblInd w:w="-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748"/>
        <w:gridCol w:w="2094"/>
        <w:gridCol w:w="6237"/>
      </w:tblGrid>
      <w:tr w14:paraId="05D07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6" w:hRule="exact"/>
          <w:tblHeader/>
        </w:trPr>
        <w:tc>
          <w:tcPr>
            <w:tcW w:w="748" w:type="dxa"/>
            <w:vAlign w:val="center"/>
          </w:tcPr>
          <w:p w14:paraId="52697986">
            <w:pPr>
              <w:widowControl/>
              <w:spacing w:line="300" w:lineRule="exact"/>
              <w:jc w:val="center"/>
              <w:rPr>
                <w:rFonts w:eastAsia="仿宋_GB2312"/>
                <w:color w:val="000000"/>
                <w:kern w:val="0"/>
                <w:sz w:val="24"/>
                <w:szCs w:val="24"/>
              </w:rPr>
            </w:pPr>
            <w:r>
              <w:rPr>
                <w:rFonts w:hint="eastAsia" w:hAnsi="仿宋_GB2312" w:eastAsia="仿宋_GB2312" w:cs="仿宋_GB2312"/>
                <w:color w:val="000000"/>
                <w:kern w:val="0"/>
                <w:sz w:val="24"/>
                <w:szCs w:val="24"/>
              </w:rPr>
              <w:t>序号</w:t>
            </w:r>
          </w:p>
        </w:tc>
        <w:tc>
          <w:tcPr>
            <w:tcW w:w="2094" w:type="dxa"/>
            <w:vAlign w:val="center"/>
          </w:tcPr>
          <w:p w14:paraId="2FCFAD7E">
            <w:pPr>
              <w:widowControl/>
              <w:spacing w:line="300" w:lineRule="exact"/>
              <w:jc w:val="center"/>
              <w:rPr>
                <w:rFonts w:eastAsia="仿宋_GB2312"/>
                <w:color w:val="000000"/>
                <w:kern w:val="0"/>
                <w:sz w:val="24"/>
                <w:szCs w:val="24"/>
              </w:rPr>
            </w:pPr>
            <w:r>
              <w:rPr>
                <w:rFonts w:hint="eastAsia" w:hAnsi="仿宋_GB2312" w:eastAsia="仿宋_GB2312" w:cs="仿宋_GB2312"/>
                <w:color w:val="000000"/>
                <w:kern w:val="0"/>
                <w:sz w:val="24"/>
                <w:szCs w:val="24"/>
              </w:rPr>
              <w:t>工程项目</w:t>
            </w:r>
          </w:p>
        </w:tc>
        <w:tc>
          <w:tcPr>
            <w:tcW w:w="6237" w:type="dxa"/>
            <w:vAlign w:val="center"/>
          </w:tcPr>
          <w:p w14:paraId="60ABE1ED">
            <w:pPr>
              <w:widowControl/>
              <w:spacing w:line="300" w:lineRule="exact"/>
              <w:jc w:val="center"/>
              <w:rPr>
                <w:rFonts w:eastAsia="仿宋_GB2312"/>
                <w:color w:val="000000"/>
                <w:kern w:val="0"/>
                <w:sz w:val="24"/>
                <w:szCs w:val="24"/>
              </w:rPr>
            </w:pPr>
            <w:r>
              <w:rPr>
                <w:rFonts w:hint="eastAsia" w:hAnsi="仿宋_GB2312" w:eastAsia="仿宋_GB2312" w:cs="仿宋_GB2312"/>
                <w:color w:val="000000"/>
                <w:kern w:val="0"/>
                <w:sz w:val="24"/>
                <w:szCs w:val="24"/>
              </w:rPr>
              <w:t>主要问题与隐患</w:t>
            </w:r>
          </w:p>
        </w:tc>
      </w:tr>
      <w:tr w14:paraId="62B47C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69" w:hRule="exact"/>
        </w:trPr>
        <w:tc>
          <w:tcPr>
            <w:tcW w:w="748" w:type="dxa"/>
            <w:vMerge w:val="restart"/>
            <w:vAlign w:val="center"/>
          </w:tcPr>
          <w:p w14:paraId="60D1F7D4">
            <w:pPr>
              <w:spacing w:line="300" w:lineRule="exact"/>
              <w:jc w:val="center"/>
              <w:rPr>
                <w:rFonts w:eastAsia="仿宋_GB2312"/>
                <w:sz w:val="24"/>
                <w:szCs w:val="24"/>
              </w:rPr>
            </w:pPr>
            <w:r>
              <w:rPr>
                <w:rFonts w:eastAsia="仿宋_GB2312"/>
                <w:sz w:val="24"/>
                <w:szCs w:val="24"/>
              </w:rPr>
              <w:t>1</w:t>
            </w:r>
          </w:p>
        </w:tc>
        <w:tc>
          <w:tcPr>
            <w:tcW w:w="2094" w:type="dxa"/>
            <w:vMerge w:val="restart"/>
            <w:vAlign w:val="center"/>
          </w:tcPr>
          <w:p w14:paraId="5B43873B">
            <w:pPr>
              <w:spacing w:line="300" w:lineRule="exact"/>
              <w:jc w:val="center"/>
              <w:rPr>
                <w:rFonts w:eastAsia="仿宋_GB2312"/>
                <w:sz w:val="24"/>
                <w:szCs w:val="24"/>
              </w:rPr>
            </w:pPr>
            <w:r>
              <w:rPr>
                <w:rFonts w:hint="eastAsia" w:eastAsia="仿宋_GB2312" w:cs="仿宋_GB2312"/>
                <w:sz w:val="24"/>
                <w:szCs w:val="24"/>
              </w:rPr>
              <w:t>福建省泉州白濑水利枢纽工程主体工程土建标</w:t>
            </w:r>
            <w:r>
              <w:rPr>
                <w:rFonts w:eastAsia="仿宋_GB2312"/>
                <w:sz w:val="24"/>
                <w:szCs w:val="24"/>
              </w:rPr>
              <w:t>C2</w:t>
            </w:r>
            <w:r>
              <w:rPr>
                <w:rFonts w:hint="eastAsia" w:eastAsia="仿宋_GB2312" w:cs="仿宋_GB2312"/>
                <w:sz w:val="24"/>
                <w:szCs w:val="24"/>
              </w:rPr>
              <w:t>标</w:t>
            </w:r>
          </w:p>
        </w:tc>
        <w:tc>
          <w:tcPr>
            <w:tcW w:w="6237" w:type="dxa"/>
            <w:vAlign w:val="center"/>
          </w:tcPr>
          <w:p w14:paraId="71B7EA05">
            <w:pPr>
              <w:spacing w:line="300" w:lineRule="exact"/>
              <w:rPr>
                <w:rFonts w:eastAsia="仿宋_GB2312"/>
                <w:sz w:val="24"/>
                <w:szCs w:val="24"/>
              </w:rPr>
            </w:pPr>
            <w:r>
              <w:rPr>
                <w:rFonts w:eastAsia="仿宋_GB2312"/>
                <w:sz w:val="24"/>
                <w:szCs w:val="24"/>
              </w:rPr>
              <w:t>1.</w:t>
            </w:r>
            <w:r>
              <w:rPr>
                <w:rFonts w:hint="eastAsia" w:eastAsia="仿宋_GB2312" w:cs="仿宋_GB2312"/>
                <w:sz w:val="24"/>
                <w:szCs w:val="24"/>
              </w:rPr>
              <w:t>发电厂房施工现场有一处配电箱设置点未配置灭火器材，一具配电箱缺失铭牌（防护等级不明），一具配电箱门跨接线有破损；部分电缆拖地、部分电缆沿边坡堆放。</w:t>
            </w:r>
          </w:p>
        </w:tc>
      </w:tr>
      <w:tr w14:paraId="75D89E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748" w:type="dxa"/>
            <w:vMerge w:val="continue"/>
            <w:vAlign w:val="center"/>
          </w:tcPr>
          <w:p w14:paraId="5BB3BC89">
            <w:pPr>
              <w:rPr>
                <w:rFonts w:eastAsia="仿宋_GB2312"/>
                <w:sz w:val="24"/>
                <w:szCs w:val="24"/>
              </w:rPr>
            </w:pPr>
          </w:p>
        </w:tc>
        <w:tc>
          <w:tcPr>
            <w:tcW w:w="2094" w:type="dxa"/>
            <w:vMerge w:val="continue"/>
            <w:vAlign w:val="center"/>
          </w:tcPr>
          <w:p w14:paraId="5A72BB2F">
            <w:pPr>
              <w:rPr>
                <w:rFonts w:eastAsia="仿宋_GB2312"/>
                <w:sz w:val="24"/>
                <w:szCs w:val="24"/>
              </w:rPr>
            </w:pPr>
          </w:p>
        </w:tc>
        <w:tc>
          <w:tcPr>
            <w:tcW w:w="6237" w:type="dxa"/>
            <w:vAlign w:val="center"/>
          </w:tcPr>
          <w:p w14:paraId="6AFC83D1">
            <w:pPr>
              <w:spacing w:line="300" w:lineRule="exact"/>
              <w:rPr>
                <w:rFonts w:eastAsia="仿宋_GB2312"/>
                <w:sz w:val="24"/>
                <w:szCs w:val="24"/>
              </w:rPr>
            </w:pPr>
            <w:r>
              <w:rPr>
                <w:rFonts w:eastAsia="仿宋_GB2312"/>
                <w:sz w:val="24"/>
                <w:szCs w:val="24"/>
              </w:rPr>
              <w:t>2.</w:t>
            </w:r>
            <w:r>
              <w:rPr>
                <w:rFonts w:hint="eastAsia" w:eastAsia="仿宋_GB2312" w:cs="仿宋_GB2312"/>
                <w:sz w:val="24"/>
                <w:szCs w:val="24"/>
              </w:rPr>
              <w:t>发电厂房施工现场外脚手架搭设未随主厂房施工层高度上升，形成沿边部分临边未做防护。</w:t>
            </w:r>
          </w:p>
        </w:tc>
      </w:tr>
      <w:tr w14:paraId="7BE38F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14:paraId="555B5099">
            <w:pPr>
              <w:rPr>
                <w:rFonts w:eastAsia="仿宋_GB2312"/>
                <w:sz w:val="24"/>
                <w:szCs w:val="24"/>
              </w:rPr>
            </w:pPr>
          </w:p>
        </w:tc>
        <w:tc>
          <w:tcPr>
            <w:tcW w:w="2094" w:type="dxa"/>
            <w:vMerge w:val="continue"/>
            <w:vAlign w:val="center"/>
          </w:tcPr>
          <w:p w14:paraId="62F1CDEA">
            <w:pPr>
              <w:rPr>
                <w:rFonts w:eastAsia="仿宋_GB2312"/>
                <w:sz w:val="24"/>
                <w:szCs w:val="24"/>
              </w:rPr>
            </w:pPr>
          </w:p>
        </w:tc>
        <w:tc>
          <w:tcPr>
            <w:tcW w:w="6237" w:type="dxa"/>
            <w:vAlign w:val="center"/>
          </w:tcPr>
          <w:p w14:paraId="25D37E74">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监理规划未及时按照新规进行修订。</w:t>
            </w:r>
          </w:p>
        </w:tc>
      </w:tr>
      <w:tr w14:paraId="1A91E4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restart"/>
            <w:vAlign w:val="center"/>
          </w:tcPr>
          <w:p w14:paraId="7D2615B5">
            <w:pPr>
              <w:spacing w:line="300" w:lineRule="exact"/>
              <w:jc w:val="center"/>
              <w:rPr>
                <w:rFonts w:eastAsia="仿宋_GB2312"/>
                <w:sz w:val="24"/>
                <w:szCs w:val="24"/>
              </w:rPr>
            </w:pPr>
            <w:r>
              <w:rPr>
                <w:rFonts w:eastAsia="仿宋_GB2312"/>
                <w:kern w:val="0"/>
                <w:sz w:val="24"/>
                <w:szCs w:val="24"/>
              </w:rPr>
              <w:t>2</w:t>
            </w:r>
          </w:p>
        </w:tc>
        <w:tc>
          <w:tcPr>
            <w:tcW w:w="2094" w:type="dxa"/>
            <w:vMerge w:val="restart"/>
            <w:vAlign w:val="center"/>
          </w:tcPr>
          <w:p w14:paraId="5715445F">
            <w:pPr>
              <w:spacing w:line="300" w:lineRule="exact"/>
              <w:jc w:val="center"/>
              <w:rPr>
                <w:rFonts w:eastAsia="仿宋_GB2312"/>
                <w:sz w:val="24"/>
                <w:szCs w:val="24"/>
              </w:rPr>
            </w:pPr>
            <w:r>
              <w:rPr>
                <w:rFonts w:hint="eastAsia" w:hAnsi="仿宋_GB2312" w:eastAsia="仿宋_GB2312" w:cs="仿宋_GB2312"/>
                <w:kern w:val="0"/>
                <w:sz w:val="24"/>
                <w:szCs w:val="24"/>
              </w:rPr>
              <w:t>北高干渠功能调整输水工程</w:t>
            </w:r>
            <w:r>
              <w:rPr>
                <w:rFonts w:eastAsia="仿宋_GB2312"/>
                <w:kern w:val="0"/>
                <w:sz w:val="24"/>
                <w:szCs w:val="24"/>
              </w:rPr>
              <w:t>C2</w:t>
            </w:r>
            <w:r>
              <w:rPr>
                <w:rFonts w:hint="eastAsia" w:hAnsi="仿宋_GB2312" w:eastAsia="仿宋_GB2312" w:cs="仿宋_GB2312"/>
                <w:kern w:val="0"/>
                <w:sz w:val="24"/>
                <w:szCs w:val="24"/>
              </w:rPr>
              <w:t>标</w:t>
            </w:r>
          </w:p>
        </w:tc>
        <w:tc>
          <w:tcPr>
            <w:tcW w:w="6237" w:type="dxa"/>
            <w:vAlign w:val="center"/>
          </w:tcPr>
          <w:p w14:paraId="39944E13">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出水口节制闸现场堆放袋装水泥、细骨料不符合设计要求。</w:t>
            </w:r>
          </w:p>
        </w:tc>
      </w:tr>
      <w:tr w14:paraId="20981C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14:paraId="00B1B4CE">
            <w:pPr>
              <w:rPr>
                <w:rFonts w:eastAsia="仿宋_GB2312"/>
                <w:sz w:val="24"/>
                <w:szCs w:val="24"/>
              </w:rPr>
            </w:pPr>
          </w:p>
        </w:tc>
        <w:tc>
          <w:tcPr>
            <w:tcW w:w="0" w:type="auto"/>
            <w:vMerge w:val="continue"/>
            <w:vAlign w:val="center"/>
          </w:tcPr>
          <w:p w14:paraId="568BC5C9">
            <w:pPr>
              <w:rPr>
                <w:rFonts w:eastAsia="仿宋_GB2312"/>
                <w:sz w:val="24"/>
                <w:szCs w:val="24"/>
              </w:rPr>
            </w:pPr>
          </w:p>
        </w:tc>
        <w:tc>
          <w:tcPr>
            <w:tcW w:w="6237" w:type="dxa"/>
            <w:vAlign w:val="center"/>
          </w:tcPr>
          <w:p w14:paraId="76CFBC32">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现场四色图未及时更新。</w:t>
            </w:r>
          </w:p>
        </w:tc>
      </w:tr>
      <w:tr w14:paraId="0BA40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14:paraId="03AD4F0D">
            <w:pPr>
              <w:rPr>
                <w:rFonts w:eastAsia="仿宋_GB2312"/>
                <w:sz w:val="24"/>
                <w:szCs w:val="24"/>
              </w:rPr>
            </w:pPr>
          </w:p>
        </w:tc>
        <w:tc>
          <w:tcPr>
            <w:tcW w:w="0" w:type="auto"/>
            <w:vMerge w:val="continue"/>
            <w:vAlign w:val="center"/>
          </w:tcPr>
          <w:p w14:paraId="72A07967">
            <w:pPr>
              <w:rPr>
                <w:rFonts w:eastAsia="仿宋_GB2312"/>
                <w:sz w:val="24"/>
                <w:szCs w:val="24"/>
              </w:rPr>
            </w:pPr>
          </w:p>
        </w:tc>
        <w:tc>
          <w:tcPr>
            <w:tcW w:w="6237" w:type="dxa"/>
            <w:vAlign w:val="center"/>
          </w:tcPr>
          <w:p w14:paraId="0C00DBD4">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钢筋场安全风险点告知牌未明确风险等级。</w:t>
            </w:r>
          </w:p>
        </w:tc>
      </w:tr>
      <w:tr w14:paraId="0C5E52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14:paraId="7374D13F">
            <w:pPr>
              <w:rPr>
                <w:rFonts w:eastAsia="仿宋_GB2312"/>
                <w:sz w:val="24"/>
                <w:szCs w:val="24"/>
              </w:rPr>
            </w:pPr>
          </w:p>
        </w:tc>
        <w:tc>
          <w:tcPr>
            <w:tcW w:w="0" w:type="auto"/>
            <w:vMerge w:val="continue"/>
            <w:vAlign w:val="center"/>
          </w:tcPr>
          <w:p w14:paraId="14F4DA4A">
            <w:pPr>
              <w:rPr>
                <w:rFonts w:eastAsia="仿宋_GB2312"/>
                <w:sz w:val="24"/>
                <w:szCs w:val="24"/>
              </w:rPr>
            </w:pPr>
          </w:p>
        </w:tc>
        <w:tc>
          <w:tcPr>
            <w:tcW w:w="6237" w:type="dxa"/>
            <w:vAlign w:val="center"/>
          </w:tcPr>
          <w:p w14:paraId="5ED49502">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项目法人主要负责人应补充安全检查存在问题书面文件。</w:t>
            </w:r>
          </w:p>
        </w:tc>
      </w:tr>
      <w:tr w14:paraId="02FA0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14:paraId="101B25D7">
            <w:pPr>
              <w:rPr>
                <w:rFonts w:eastAsia="仿宋_GB2312"/>
                <w:sz w:val="24"/>
                <w:szCs w:val="24"/>
              </w:rPr>
            </w:pPr>
          </w:p>
        </w:tc>
        <w:tc>
          <w:tcPr>
            <w:tcW w:w="2094" w:type="dxa"/>
            <w:vMerge w:val="continue"/>
            <w:vAlign w:val="center"/>
          </w:tcPr>
          <w:p w14:paraId="639EAB05">
            <w:pPr>
              <w:rPr>
                <w:rFonts w:eastAsia="仿宋_GB2312"/>
                <w:sz w:val="24"/>
                <w:szCs w:val="24"/>
              </w:rPr>
            </w:pPr>
          </w:p>
        </w:tc>
        <w:tc>
          <w:tcPr>
            <w:tcW w:w="6237" w:type="dxa"/>
            <w:vAlign w:val="center"/>
          </w:tcPr>
          <w:p w14:paraId="00742773">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设计单位安全生产责任制落实考核缺少证明材料。</w:t>
            </w:r>
          </w:p>
        </w:tc>
      </w:tr>
      <w:tr w14:paraId="15FA1C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748" w:type="dxa"/>
            <w:vMerge w:val="continue"/>
            <w:vAlign w:val="center"/>
          </w:tcPr>
          <w:p w14:paraId="1494BE56">
            <w:pPr>
              <w:rPr>
                <w:rFonts w:eastAsia="仿宋_GB2312"/>
                <w:sz w:val="24"/>
                <w:szCs w:val="24"/>
              </w:rPr>
            </w:pPr>
          </w:p>
        </w:tc>
        <w:tc>
          <w:tcPr>
            <w:tcW w:w="2094" w:type="dxa"/>
            <w:vMerge w:val="continue"/>
            <w:vAlign w:val="center"/>
          </w:tcPr>
          <w:p w14:paraId="5D4DCCF4">
            <w:pPr>
              <w:rPr>
                <w:rFonts w:eastAsia="仿宋_GB2312"/>
                <w:sz w:val="24"/>
                <w:szCs w:val="24"/>
              </w:rPr>
            </w:pPr>
          </w:p>
        </w:tc>
        <w:tc>
          <w:tcPr>
            <w:tcW w:w="6237" w:type="dxa"/>
            <w:vAlign w:val="center"/>
          </w:tcPr>
          <w:p w14:paraId="129CD80D">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设计安全专篇内容不完善，无深基坑、钢筋场制作、生活办公区安全要求。</w:t>
            </w:r>
          </w:p>
        </w:tc>
      </w:tr>
      <w:tr w14:paraId="3B6892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14:paraId="376F03D0">
            <w:pPr>
              <w:rPr>
                <w:rFonts w:eastAsia="仿宋_GB2312"/>
                <w:sz w:val="24"/>
                <w:szCs w:val="24"/>
              </w:rPr>
            </w:pPr>
          </w:p>
        </w:tc>
        <w:tc>
          <w:tcPr>
            <w:tcW w:w="0" w:type="auto"/>
            <w:vMerge w:val="continue"/>
            <w:vAlign w:val="center"/>
          </w:tcPr>
          <w:p w14:paraId="15A2CBF0">
            <w:pPr>
              <w:rPr>
                <w:rFonts w:eastAsia="仿宋_GB2312"/>
                <w:sz w:val="24"/>
                <w:szCs w:val="24"/>
              </w:rPr>
            </w:pPr>
          </w:p>
        </w:tc>
        <w:tc>
          <w:tcPr>
            <w:tcW w:w="6237" w:type="dxa"/>
            <w:vAlign w:val="center"/>
          </w:tcPr>
          <w:p w14:paraId="557C1E1A">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监理实施细则未按新规进行修订。</w:t>
            </w:r>
          </w:p>
        </w:tc>
      </w:tr>
      <w:tr w14:paraId="213497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0" w:type="auto"/>
            <w:vMerge w:val="continue"/>
            <w:vAlign w:val="center"/>
          </w:tcPr>
          <w:p w14:paraId="7978285F">
            <w:pPr>
              <w:rPr>
                <w:rFonts w:eastAsia="仿宋_GB2312"/>
                <w:sz w:val="24"/>
                <w:szCs w:val="24"/>
              </w:rPr>
            </w:pPr>
          </w:p>
        </w:tc>
        <w:tc>
          <w:tcPr>
            <w:tcW w:w="0" w:type="auto"/>
            <w:vMerge w:val="continue"/>
            <w:vAlign w:val="center"/>
          </w:tcPr>
          <w:p w14:paraId="66D2C31C">
            <w:pPr>
              <w:rPr>
                <w:rFonts w:eastAsia="仿宋_GB2312"/>
                <w:sz w:val="24"/>
                <w:szCs w:val="24"/>
              </w:rPr>
            </w:pPr>
          </w:p>
        </w:tc>
        <w:tc>
          <w:tcPr>
            <w:tcW w:w="6237" w:type="dxa"/>
            <w:vAlign w:val="center"/>
          </w:tcPr>
          <w:p w14:paraId="301D926F">
            <w:pPr>
              <w:spacing w:line="300" w:lineRule="exact"/>
              <w:rPr>
                <w:rFonts w:eastAsia="仿宋_GB2312"/>
                <w:sz w:val="24"/>
                <w:szCs w:val="24"/>
              </w:rPr>
            </w:pPr>
            <w:r>
              <w:rPr>
                <w:rFonts w:eastAsia="仿宋_GB2312"/>
                <w:sz w:val="24"/>
                <w:szCs w:val="24"/>
              </w:rPr>
              <w:t>8.</w:t>
            </w:r>
            <w:r>
              <w:rPr>
                <w:rFonts w:hint="eastAsia" w:eastAsia="仿宋_GB2312" w:cs="仿宋_GB2312"/>
                <w:sz w:val="24"/>
                <w:szCs w:val="24"/>
              </w:rPr>
              <w:t>施工单位项目部人员安全生产责任书针对性不强，班组安全生产责任书个别人员未签字。</w:t>
            </w:r>
          </w:p>
        </w:tc>
      </w:tr>
      <w:tr w14:paraId="6B86FF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14:paraId="431763C5">
            <w:pPr>
              <w:rPr>
                <w:rFonts w:eastAsia="仿宋_GB2312"/>
                <w:sz w:val="24"/>
                <w:szCs w:val="24"/>
              </w:rPr>
            </w:pPr>
          </w:p>
        </w:tc>
        <w:tc>
          <w:tcPr>
            <w:tcW w:w="2094" w:type="dxa"/>
            <w:vMerge w:val="continue"/>
            <w:vAlign w:val="center"/>
          </w:tcPr>
          <w:p w14:paraId="4322ADFA">
            <w:pPr>
              <w:rPr>
                <w:rFonts w:eastAsia="仿宋_GB2312"/>
                <w:sz w:val="24"/>
                <w:szCs w:val="24"/>
              </w:rPr>
            </w:pPr>
          </w:p>
        </w:tc>
        <w:tc>
          <w:tcPr>
            <w:tcW w:w="6237" w:type="dxa"/>
            <w:vAlign w:val="center"/>
          </w:tcPr>
          <w:p w14:paraId="2B8DC4A1">
            <w:pPr>
              <w:spacing w:line="300" w:lineRule="exact"/>
              <w:rPr>
                <w:rFonts w:eastAsia="仿宋_GB2312"/>
                <w:sz w:val="24"/>
                <w:szCs w:val="24"/>
              </w:rPr>
            </w:pPr>
            <w:r>
              <w:rPr>
                <w:rFonts w:eastAsia="仿宋_GB2312"/>
                <w:sz w:val="24"/>
                <w:szCs w:val="24"/>
              </w:rPr>
              <w:t>9.</w:t>
            </w:r>
            <w:r>
              <w:rPr>
                <w:rFonts w:hint="eastAsia" w:eastAsia="仿宋_GB2312" w:cs="仿宋_GB2312"/>
                <w:sz w:val="24"/>
                <w:szCs w:val="24"/>
              </w:rPr>
              <w:t>施工单位应急救</w:t>
            </w:r>
            <w:r>
              <w:rPr>
                <w:rFonts w:hint="eastAsia" w:eastAsia="仿宋_GB2312" w:cs="仿宋_GB2312"/>
                <w:sz w:val="24"/>
                <w:szCs w:val="24"/>
                <w:lang w:eastAsia="zh-CN"/>
              </w:rPr>
              <w:t>援</w:t>
            </w:r>
            <w:r>
              <w:rPr>
                <w:rFonts w:hint="eastAsia" w:eastAsia="仿宋_GB2312" w:cs="仿宋_GB2312"/>
                <w:sz w:val="24"/>
                <w:szCs w:val="24"/>
              </w:rPr>
              <w:t>预案演练效果评估未按要求进行制表。</w:t>
            </w:r>
          </w:p>
        </w:tc>
      </w:tr>
      <w:tr w14:paraId="68F23F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14:paraId="7DB7206A">
            <w:pPr>
              <w:rPr>
                <w:rFonts w:eastAsia="仿宋_GB2312"/>
                <w:sz w:val="24"/>
                <w:szCs w:val="24"/>
              </w:rPr>
            </w:pPr>
          </w:p>
        </w:tc>
        <w:tc>
          <w:tcPr>
            <w:tcW w:w="2094" w:type="dxa"/>
            <w:vMerge w:val="continue"/>
            <w:vAlign w:val="center"/>
          </w:tcPr>
          <w:p w14:paraId="3F2A709D">
            <w:pPr>
              <w:rPr>
                <w:rFonts w:eastAsia="仿宋_GB2312"/>
                <w:sz w:val="24"/>
                <w:szCs w:val="24"/>
              </w:rPr>
            </w:pPr>
          </w:p>
        </w:tc>
        <w:tc>
          <w:tcPr>
            <w:tcW w:w="6237" w:type="dxa"/>
            <w:vAlign w:val="center"/>
          </w:tcPr>
          <w:p w14:paraId="08F25F4B">
            <w:pPr>
              <w:spacing w:line="300" w:lineRule="exact"/>
              <w:rPr>
                <w:rFonts w:eastAsia="仿宋_GB2312"/>
                <w:sz w:val="24"/>
                <w:szCs w:val="24"/>
              </w:rPr>
            </w:pPr>
            <w:r>
              <w:rPr>
                <w:rFonts w:eastAsia="仿宋_GB2312"/>
                <w:sz w:val="24"/>
                <w:szCs w:val="24"/>
              </w:rPr>
              <w:t>10.</w:t>
            </w:r>
            <w:r>
              <w:rPr>
                <w:rFonts w:hint="eastAsia" w:eastAsia="仿宋_GB2312" w:cs="仿宋_GB2312"/>
                <w:sz w:val="24"/>
                <w:szCs w:val="24"/>
              </w:rPr>
              <w:t>导改段应注意与燃气管道交叉施工安全管理。</w:t>
            </w:r>
          </w:p>
        </w:tc>
      </w:tr>
      <w:tr w14:paraId="7FE52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748" w:type="dxa"/>
            <w:vMerge w:val="restart"/>
            <w:vAlign w:val="center"/>
          </w:tcPr>
          <w:p w14:paraId="688E8268">
            <w:pPr>
              <w:spacing w:line="300" w:lineRule="exact"/>
              <w:jc w:val="center"/>
              <w:rPr>
                <w:rFonts w:eastAsia="仿宋_GB2312"/>
                <w:sz w:val="24"/>
                <w:szCs w:val="24"/>
              </w:rPr>
            </w:pPr>
            <w:r>
              <w:rPr>
                <w:rFonts w:eastAsia="仿宋_GB2312"/>
                <w:sz w:val="24"/>
                <w:szCs w:val="24"/>
              </w:rPr>
              <w:t>3</w:t>
            </w:r>
          </w:p>
        </w:tc>
        <w:tc>
          <w:tcPr>
            <w:tcW w:w="2094" w:type="dxa"/>
            <w:vMerge w:val="restart"/>
            <w:vAlign w:val="center"/>
          </w:tcPr>
          <w:p w14:paraId="4FC990B0">
            <w:pPr>
              <w:spacing w:line="300" w:lineRule="exact"/>
              <w:jc w:val="center"/>
              <w:rPr>
                <w:rFonts w:eastAsia="仿宋_GB2312"/>
                <w:sz w:val="24"/>
                <w:szCs w:val="24"/>
              </w:rPr>
            </w:pPr>
            <w:r>
              <w:rPr>
                <w:rFonts w:hint="eastAsia" w:eastAsia="仿宋_GB2312" w:cs="仿宋_GB2312"/>
                <w:sz w:val="24"/>
                <w:szCs w:val="24"/>
              </w:rPr>
              <w:t>金门供水水源保障南高干渠供水替代工程</w:t>
            </w:r>
            <w:r>
              <w:rPr>
                <w:rFonts w:eastAsia="仿宋_GB2312"/>
                <w:sz w:val="24"/>
                <w:szCs w:val="24"/>
              </w:rPr>
              <w:t>N1</w:t>
            </w:r>
            <w:r>
              <w:rPr>
                <w:rFonts w:hint="eastAsia" w:eastAsia="仿宋_GB2312" w:cs="仿宋_GB2312"/>
                <w:sz w:val="24"/>
                <w:szCs w:val="24"/>
              </w:rPr>
              <w:t>标段</w:t>
            </w:r>
          </w:p>
        </w:tc>
        <w:tc>
          <w:tcPr>
            <w:tcW w:w="6237" w:type="dxa"/>
            <w:vAlign w:val="center"/>
          </w:tcPr>
          <w:p w14:paraId="6DA3C40A">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压水试验方案应按试压标段编制方案，并注明试压桩号、管材材质、堵头设置方案、设计要求参数及相应的记录例表。</w:t>
            </w:r>
          </w:p>
        </w:tc>
      </w:tr>
      <w:tr w14:paraId="250FD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748" w:type="dxa"/>
            <w:vMerge w:val="continue"/>
            <w:vAlign w:val="center"/>
          </w:tcPr>
          <w:p w14:paraId="56B78A85">
            <w:pPr>
              <w:rPr>
                <w:rFonts w:eastAsia="仿宋_GB2312"/>
                <w:sz w:val="24"/>
                <w:szCs w:val="24"/>
              </w:rPr>
            </w:pPr>
          </w:p>
        </w:tc>
        <w:tc>
          <w:tcPr>
            <w:tcW w:w="2094" w:type="dxa"/>
            <w:vMerge w:val="continue"/>
            <w:vAlign w:val="center"/>
          </w:tcPr>
          <w:p w14:paraId="625BBBC7">
            <w:pPr>
              <w:rPr>
                <w:rFonts w:eastAsia="仿宋_GB2312"/>
                <w:sz w:val="24"/>
                <w:szCs w:val="24"/>
              </w:rPr>
            </w:pPr>
          </w:p>
        </w:tc>
        <w:tc>
          <w:tcPr>
            <w:tcW w:w="6237" w:type="dxa"/>
            <w:vAlign w:val="center"/>
          </w:tcPr>
          <w:p w14:paraId="5096B5B9">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现场（始发井）门式起重机使用前应备案或应经参建单位五方验收合格后方可投入使用。</w:t>
            </w:r>
          </w:p>
        </w:tc>
      </w:tr>
      <w:tr w14:paraId="79644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14:paraId="4867AE99">
            <w:pPr>
              <w:rPr>
                <w:rFonts w:eastAsia="仿宋_GB2312"/>
                <w:sz w:val="24"/>
                <w:szCs w:val="24"/>
              </w:rPr>
            </w:pPr>
          </w:p>
        </w:tc>
        <w:tc>
          <w:tcPr>
            <w:tcW w:w="2094" w:type="dxa"/>
            <w:vMerge w:val="continue"/>
            <w:vAlign w:val="center"/>
          </w:tcPr>
          <w:p w14:paraId="3AADC54F">
            <w:pPr>
              <w:rPr>
                <w:rFonts w:eastAsia="仿宋_GB2312"/>
                <w:sz w:val="24"/>
                <w:szCs w:val="24"/>
              </w:rPr>
            </w:pPr>
          </w:p>
        </w:tc>
        <w:tc>
          <w:tcPr>
            <w:tcW w:w="6237" w:type="dxa"/>
            <w:vAlign w:val="center"/>
          </w:tcPr>
          <w:p w14:paraId="738D02B9">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部分单元工程质量检验评定资料备查资料不完整。</w:t>
            </w:r>
          </w:p>
        </w:tc>
      </w:tr>
      <w:tr w14:paraId="1ADC3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14:paraId="644CAA53">
            <w:pPr>
              <w:rPr>
                <w:rFonts w:eastAsia="仿宋_GB2312"/>
                <w:sz w:val="24"/>
                <w:szCs w:val="24"/>
              </w:rPr>
            </w:pPr>
          </w:p>
        </w:tc>
        <w:tc>
          <w:tcPr>
            <w:tcW w:w="2094" w:type="dxa"/>
            <w:vMerge w:val="continue"/>
            <w:vAlign w:val="center"/>
          </w:tcPr>
          <w:p w14:paraId="2D7725CE">
            <w:pPr>
              <w:rPr>
                <w:rFonts w:eastAsia="仿宋_GB2312"/>
                <w:sz w:val="24"/>
                <w:szCs w:val="24"/>
              </w:rPr>
            </w:pPr>
          </w:p>
        </w:tc>
        <w:tc>
          <w:tcPr>
            <w:tcW w:w="6237" w:type="dxa"/>
            <w:vAlign w:val="center"/>
          </w:tcPr>
          <w:p w14:paraId="798C7CDC">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设计单位尚未开展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14:paraId="7421A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0" w:type="auto"/>
            <w:vMerge w:val="continue"/>
            <w:vAlign w:val="center"/>
          </w:tcPr>
          <w:p w14:paraId="2A199522">
            <w:pPr>
              <w:rPr>
                <w:rFonts w:eastAsia="仿宋_GB2312"/>
                <w:sz w:val="24"/>
                <w:szCs w:val="24"/>
              </w:rPr>
            </w:pPr>
          </w:p>
        </w:tc>
        <w:tc>
          <w:tcPr>
            <w:tcW w:w="0" w:type="auto"/>
            <w:vMerge w:val="continue"/>
            <w:vAlign w:val="center"/>
          </w:tcPr>
          <w:p w14:paraId="6F4A5B39">
            <w:pPr>
              <w:rPr>
                <w:rFonts w:eastAsia="仿宋_GB2312"/>
                <w:sz w:val="24"/>
                <w:szCs w:val="24"/>
              </w:rPr>
            </w:pPr>
          </w:p>
        </w:tc>
        <w:tc>
          <w:tcPr>
            <w:tcW w:w="6237" w:type="dxa"/>
            <w:vAlign w:val="center"/>
          </w:tcPr>
          <w:p w14:paraId="5B70245D">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设计单位</w:t>
            </w:r>
            <w:r>
              <w:rPr>
                <w:rFonts w:eastAsia="仿宋_GB2312"/>
                <w:kern w:val="0"/>
                <w:sz w:val="24"/>
                <w:szCs w:val="24"/>
              </w:rPr>
              <w:t>2025</w:t>
            </w:r>
            <w:r>
              <w:rPr>
                <w:rFonts w:hint="eastAsia" w:eastAsia="仿宋_GB2312" w:cs="仿宋_GB2312"/>
                <w:kern w:val="0"/>
                <w:sz w:val="24"/>
                <w:szCs w:val="24"/>
              </w:rPr>
              <w:t>年度对从业人员教育和培训材料不完善。</w:t>
            </w:r>
          </w:p>
        </w:tc>
      </w:tr>
      <w:tr w14:paraId="5B0462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0" w:type="auto"/>
            <w:vMerge w:val="continue"/>
            <w:vAlign w:val="center"/>
          </w:tcPr>
          <w:p w14:paraId="62F8148B">
            <w:pPr>
              <w:rPr>
                <w:rFonts w:eastAsia="仿宋_GB2312"/>
                <w:sz w:val="24"/>
                <w:szCs w:val="24"/>
              </w:rPr>
            </w:pPr>
          </w:p>
        </w:tc>
        <w:tc>
          <w:tcPr>
            <w:tcW w:w="0" w:type="auto"/>
            <w:vMerge w:val="continue"/>
            <w:vAlign w:val="center"/>
          </w:tcPr>
          <w:p w14:paraId="360F77F5">
            <w:pPr>
              <w:rPr>
                <w:rFonts w:eastAsia="仿宋_GB2312"/>
                <w:sz w:val="24"/>
                <w:szCs w:val="24"/>
              </w:rPr>
            </w:pPr>
          </w:p>
        </w:tc>
        <w:tc>
          <w:tcPr>
            <w:tcW w:w="6237" w:type="dxa"/>
            <w:vAlign w:val="center"/>
          </w:tcPr>
          <w:p w14:paraId="5A4243BC">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监理单位未及时更新盾构施工相关技术规范和标准。</w:t>
            </w:r>
          </w:p>
        </w:tc>
      </w:tr>
      <w:tr w14:paraId="5C767F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0" w:type="auto"/>
            <w:vMerge w:val="continue"/>
            <w:vAlign w:val="center"/>
          </w:tcPr>
          <w:p w14:paraId="44EE4955">
            <w:pPr>
              <w:rPr>
                <w:rFonts w:eastAsia="仿宋_GB2312"/>
                <w:sz w:val="24"/>
                <w:szCs w:val="24"/>
              </w:rPr>
            </w:pPr>
          </w:p>
        </w:tc>
        <w:tc>
          <w:tcPr>
            <w:tcW w:w="0" w:type="auto"/>
            <w:vMerge w:val="continue"/>
            <w:vAlign w:val="center"/>
          </w:tcPr>
          <w:p w14:paraId="4DA0A4C2">
            <w:pPr>
              <w:rPr>
                <w:rFonts w:eastAsia="仿宋_GB2312"/>
                <w:sz w:val="24"/>
                <w:szCs w:val="24"/>
              </w:rPr>
            </w:pPr>
          </w:p>
        </w:tc>
        <w:tc>
          <w:tcPr>
            <w:tcW w:w="6237" w:type="dxa"/>
            <w:vAlign w:val="center"/>
          </w:tcPr>
          <w:p w14:paraId="1CABEBEB">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施工单位危险源辨识未按新规进行</w:t>
            </w:r>
            <w:r>
              <w:rPr>
                <w:rFonts w:hint="eastAsia" w:eastAsia="仿宋_GB2312" w:cs="仿宋_GB2312"/>
                <w:sz w:val="24"/>
                <w:szCs w:val="24"/>
              </w:rPr>
              <w:t>修订</w:t>
            </w:r>
            <w:r>
              <w:rPr>
                <w:rFonts w:hint="eastAsia" w:eastAsia="仿宋_GB2312" w:cs="仿宋_GB2312"/>
                <w:kern w:val="0"/>
                <w:sz w:val="24"/>
                <w:szCs w:val="24"/>
              </w:rPr>
              <w:t>。</w:t>
            </w:r>
          </w:p>
        </w:tc>
      </w:tr>
      <w:tr w14:paraId="4195D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14:paraId="06646A36">
            <w:pPr>
              <w:rPr>
                <w:rFonts w:eastAsia="仿宋_GB2312"/>
                <w:sz w:val="24"/>
                <w:szCs w:val="24"/>
              </w:rPr>
            </w:pPr>
          </w:p>
        </w:tc>
        <w:tc>
          <w:tcPr>
            <w:tcW w:w="2094" w:type="dxa"/>
            <w:vMerge w:val="continue"/>
            <w:vAlign w:val="center"/>
          </w:tcPr>
          <w:p w14:paraId="7570105E">
            <w:pPr>
              <w:rPr>
                <w:rFonts w:eastAsia="仿宋_GB2312"/>
                <w:sz w:val="24"/>
                <w:szCs w:val="24"/>
              </w:rPr>
            </w:pPr>
          </w:p>
        </w:tc>
        <w:tc>
          <w:tcPr>
            <w:tcW w:w="6237" w:type="dxa"/>
            <w:vAlign w:val="center"/>
          </w:tcPr>
          <w:p w14:paraId="01DFA664">
            <w:pPr>
              <w:spacing w:line="300" w:lineRule="exact"/>
              <w:rPr>
                <w:rFonts w:eastAsia="仿宋_GB2312"/>
                <w:kern w:val="0"/>
                <w:sz w:val="24"/>
                <w:szCs w:val="24"/>
              </w:rPr>
            </w:pPr>
            <w:r>
              <w:rPr>
                <w:rFonts w:eastAsia="仿宋_GB2312"/>
                <w:kern w:val="0"/>
                <w:sz w:val="24"/>
                <w:szCs w:val="24"/>
              </w:rPr>
              <w:t>8.</w:t>
            </w:r>
            <w:r>
              <w:rPr>
                <w:rFonts w:hint="eastAsia" w:eastAsia="仿宋_GB2312" w:cs="仿宋_GB2312"/>
                <w:kern w:val="0"/>
                <w:sz w:val="24"/>
                <w:szCs w:val="24"/>
              </w:rPr>
              <w:t>施工单位顶盾工区新入场工人三级安全教育未具体化。</w:t>
            </w:r>
          </w:p>
        </w:tc>
      </w:tr>
      <w:tr w14:paraId="227D39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748" w:type="dxa"/>
            <w:vMerge w:val="restart"/>
            <w:vAlign w:val="center"/>
          </w:tcPr>
          <w:p w14:paraId="28FE53B7">
            <w:pPr>
              <w:spacing w:line="300" w:lineRule="exact"/>
              <w:jc w:val="center"/>
              <w:rPr>
                <w:rFonts w:eastAsia="仿宋_GB2312"/>
                <w:sz w:val="24"/>
                <w:szCs w:val="24"/>
              </w:rPr>
            </w:pPr>
            <w:r>
              <w:rPr>
                <w:rFonts w:eastAsia="仿宋_GB2312"/>
                <w:sz w:val="24"/>
                <w:szCs w:val="24"/>
              </w:rPr>
              <w:t>4</w:t>
            </w:r>
          </w:p>
        </w:tc>
        <w:tc>
          <w:tcPr>
            <w:tcW w:w="2094" w:type="dxa"/>
            <w:vMerge w:val="restart"/>
            <w:vAlign w:val="center"/>
          </w:tcPr>
          <w:p w14:paraId="7F6A13A5">
            <w:pPr>
              <w:spacing w:line="300" w:lineRule="exact"/>
              <w:jc w:val="center"/>
              <w:rPr>
                <w:rFonts w:eastAsia="仿宋_GB2312"/>
                <w:sz w:val="24"/>
                <w:szCs w:val="24"/>
              </w:rPr>
            </w:pPr>
            <w:r>
              <w:rPr>
                <w:rFonts w:hint="eastAsia" w:eastAsia="仿宋_GB2312" w:cs="仿宋_GB2312"/>
                <w:sz w:val="24"/>
                <w:szCs w:val="24"/>
              </w:rPr>
              <w:t>金门供水水源保障南高干渠供水替代工程</w:t>
            </w:r>
            <w:r>
              <w:rPr>
                <w:rFonts w:eastAsia="仿宋_GB2312"/>
                <w:sz w:val="24"/>
                <w:szCs w:val="24"/>
              </w:rPr>
              <w:t>N2</w:t>
            </w:r>
            <w:r>
              <w:rPr>
                <w:rFonts w:hint="eastAsia" w:eastAsia="仿宋_GB2312" w:cs="仿宋_GB2312"/>
                <w:sz w:val="24"/>
                <w:szCs w:val="24"/>
              </w:rPr>
              <w:t>标段</w:t>
            </w:r>
          </w:p>
        </w:tc>
        <w:tc>
          <w:tcPr>
            <w:tcW w:w="6237" w:type="dxa"/>
            <w:vAlign w:val="center"/>
          </w:tcPr>
          <w:p w14:paraId="42D2C3A2">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接收井</w:t>
            </w:r>
            <w:r>
              <w:rPr>
                <w:rFonts w:eastAsia="仿宋_GB2312"/>
                <w:kern w:val="0"/>
                <w:sz w:val="24"/>
                <w:szCs w:val="24"/>
              </w:rPr>
              <w:t>J10</w:t>
            </w:r>
            <w:r>
              <w:rPr>
                <w:rFonts w:hint="eastAsia" w:eastAsia="仿宋_GB2312" w:cs="仿宋_GB2312"/>
                <w:kern w:val="0"/>
                <w:sz w:val="24"/>
                <w:szCs w:val="24"/>
              </w:rPr>
              <w:t>号井壁出现局部轻微渗漏水点（有水渍），请监理单位牵头查明原因，督促施工单位进行处理。</w:t>
            </w:r>
          </w:p>
        </w:tc>
      </w:tr>
      <w:tr w14:paraId="380192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14:paraId="2B8BB49E">
            <w:pPr>
              <w:rPr>
                <w:rFonts w:eastAsia="仿宋_GB2312"/>
                <w:sz w:val="24"/>
                <w:szCs w:val="24"/>
              </w:rPr>
            </w:pPr>
          </w:p>
        </w:tc>
        <w:tc>
          <w:tcPr>
            <w:tcW w:w="2094" w:type="dxa"/>
            <w:vMerge w:val="continue"/>
            <w:vAlign w:val="center"/>
          </w:tcPr>
          <w:p w14:paraId="1F11A988">
            <w:pPr>
              <w:rPr>
                <w:rFonts w:eastAsia="仿宋_GB2312"/>
                <w:sz w:val="24"/>
                <w:szCs w:val="24"/>
              </w:rPr>
            </w:pPr>
          </w:p>
        </w:tc>
        <w:tc>
          <w:tcPr>
            <w:tcW w:w="6237" w:type="dxa"/>
            <w:vAlign w:val="center"/>
          </w:tcPr>
          <w:p w14:paraId="036A0408">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下井电缆直接挂在钢筋上，未加挂绝缘子。</w:t>
            </w:r>
          </w:p>
        </w:tc>
      </w:tr>
      <w:tr w14:paraId="5E149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14:paraId="0E5B00EA">
            <w:pPr>
              <w:rPr>
                <w:rFonts w:eastAsia="仿宋_GB2312"/>
                <w:sz w:val="24"/>
                <w:szCs w:val="24"/>
              </w:rPr>
            </w:pPr>
          </w:p>
        </w:tc>
        <w:tc>
          <w:tcPr>
            <w:tcW w:w="2094" w:type="dxa"/>
            <w:vMerge w:val="continue"/>
            <w:vAlign w:val="center"/>
          </w:tcPr>
          <w:p w14:paraId="6B4D02D1">
            <w:pPr>
              <w:rPr>
                <w:rFonts w:eastAsia="仿宋_GB2312"/>
                <w:sz w:val="24"/>
                <w:szCs w:val="24"/>
              </w:rPr>
            </w:pPr>
          </w:p>
        </w:tc>
        <w:tc>
          <w:tcPr>
            <w:tcW w:w="6237" w:type="dxa"/>
            <w:vAlign w:val="center"/>
          </w:tcPr>
          <w:p w14:paraId="553A0661">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部分单元工程质量检验评定资料原始记录不完整。</w:t>
            </w:r>
          </w:p>
        </w:tc>
      </w:tr>
      <w:tr w14:paraId="67065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14:paraId="3963CA88">
            <w:pPr>
              <w:rPr>
                <w:rFonts w:eastAsia="仿宋_GB2312"/>
                <w:sz w:val="24"/>
                <w:szCs w:val="24"/>
              </w:rPr>
            </w:pPr>
          </w:p>
        </w:tc>
        <w:tc>
          <w:tcPr>
            <w:tcW w:w="2094" w:type="dxa"/>
            <w:vMerge w:val="continue"/>
            <w:vAlign w:val="center"/>
          </w:tcPr>
          <w:p w14:paraId="51D51597">
            <w:pPr>
              <w:rPr>
                <w:rFonts w:eastAsia="仿宋_GB2312"/>
                <w:sz w:val="24"/>
                <w:szCs w:val="24"/>
              </w:rPr>
            </w:pPr>
          </w:p>
        </w:tc>
        <w:tc>
          <w:tcPr>
            <w:tcW w:w="6237" w:type="dxa"/>
            <w:vAlign w:val="center"/>
          </w:tcPr>
          <w:p w14:paraId="28F36EDC">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设计单位尚未开展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14:paraId="5D673F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14:paraId="45507881">
            <w:pPr>
              <w:rPr>
                <w:rFonts w:eastAsia="仿宋_GB2312"/>
                <w:sz w:val="24"/>
                <w:szCs w:val="24"/>
              </w:rPr>
            </w:pPr>
          </w:p>
        </w:tc>
        <w:tc>
          <w:tcPr>
            <w:tcW w:w="2094" w:type="dxa"/>
            <w:vMerge w:val="continue"/>
            <w:vAlign w:val="center"/>
          </w:tcPr>
          <w:p w14:paraId="4FAA76DC">
            <w:pPr>
              <w:rPr>
                <w:rFonts w:eastAsia="仿宋_GB2312"/>
                <w:sz w:val="24"/>
                <w:szCs w:val="24"/>
              </w:rPr>
            </w:pPr>
          </w:p>
        </w:tc>
        <w:tc>
          <w:tcPr>
            <w:tcW w:w="6237" w:type="dxa"/>
            <w:vAlign w:val="center"/>
          </w:tcPr>
          <w:p w14:paraId="299F196B">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设计单位</w:t>
            </w:r>
            <w:r>
              <w:rPr>
                <w:rFonts w:eastAsia="仿宋_GB2312"/>
                <w:kern w:val="0"/>
                <w:sz w:val="24"/>
                <w:szCs w:val="24"/>
              </w:rPr>
              <w:t>2025</w:t>
            </w:r>
            <w:r>
              <w:rPr>
                <w:rFonts w:hint="eastAsia" w:eastAsia="仿宋_GB2312" w:cs="仿宋_GB2312"/>
                <w:kern w:val="0"/>
                <w:sz w:val="24"/>
                <w:szCs w:val="24"/>
              </w:rPr>
              <w:t>年度对从业人员教育和培训材料不完善。</w:t>
            </w:r>
          </w:p>
        </w:tc>
      </w:tr>
      <w:tr w14:paraId="6545B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0" w:type="auto"/>
            <w:vMerge w:val="continue"/>
            <w:vAlign w:val="center"/>
          </w:tcPr>
          <w:p w14:paraId="1F5F1D07">
            <w:pPr>
              <w:rPr>
                <w:rFonts w:eastAsia="仿宋_GB2312"/>
                <w:sz w:val="24"/>
                <w:szCs w:val="24"/>
              </w:rPr>
            </w:pPr>
          </w:p>
        </w:tc>
        <w:tc>
          <w:tcPr>
            <w:tcW w:w="0" w:type="auto"/>
            <w:vMerge w:val="continue"/>
            <w:vAlign w:val="center"/>
          </w:tcPr>
          <w:p w14:paraId="25D25F2F">
            <w:pPr>
              <w:rPr>
                <w:rFonts w:eastAsia="仿宋_GB2312"/>
                <w:sz w:val="24"/>
                <w:szCs w:val="24"/>
              </w:rPr>
            </w:pPr>
          </w:p>
        </w:tc>
        <w:tc>
          <w:tcPr>
            <w:tcW w:w="6237" w:type="dxa"/>
            <w:vAlign w:val="center"/>
          </w:tcPr>
          <w:p w14:paraId="4B4EF0E7">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施工单位新入场电焊工安全教育培训二级（项目部）、三级（班组）教育培训内容针对性不强。</w:t>
            </w:r>
          </w:p>
        </w:tc>
      </w:tr>
      <w:tr w14:paraId="5E134B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0" w:type="auto"/>
            <w:vMerge w:val="continue"/>
            <w:vAlign w:val="center"/>
          </w:tcPr>
          <w:p w14:paraId="4E7C5CE2">
            <w:pPr>
              <w:rPr>
                <w:rFonts w:eastAsia="仿宋_GB2312"/>
                <w:sz w:val="24"/>
                <w:szCs w:val="24"/>
              </w:rPr>
            </w:pPr>
          </w:p>
        </w:tc>
        <w:tc>
          <w:tcPr>
            <w:tcW w:w="0" w:type="auto"/>
            <w:vMerge w:val="continue"/>
            <w:vAlign w:val="center"/>
          </w:tcPr>
          <w:p w14:paraId="5D4283B9">
            <w:pPr>
              <w:rPr>
                <w:rFonts w:eastAsia="仿宋_GB2312"/>
                <w:sz w:val="24"/>
                <w:szCs w:val="24"/>
              </w:rPr>
            </w:pPr>
          </w:p>
        </w:tc>
        <w:tc>
          <w:tcPr>
            <w:tcW w:w="6237" w:type="dxa"/>
            <w:vAlign w:val="center"/>
          </w:tcPr>
          <w:p w14:paraId="0C32D2BB">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未对机械伤害、高空坠落等应急演练效果进行评估。</w:t>
            </w:r>
          </w:p>
        </w:tc>
      </w:tr>
      <w:tr w14:paraId="1C358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14:paraId="43ABC626">
            <w:pPr>
              <w:rPr>
                <w:rFonts w:eastAsia="仿宋_GB2312"/>
                <w:sz w:val="24"/>
                <w:szCs w:val="24"/>
              </w:rPr>
            </w:pPr>
          </w:p>
        </w:tc>
        <w:tc>
          <w:tcPr>
            <w:tcW w:w="2094" w:type="dxa"/>
            <w:vMerge w:val="continue"/>
            <w:vAlign w:val="center"/>
          </w:tcPr>
          <w:p w14:paraId="3DF14404">
            <w:pPr>
              <w:rPr>
                <w:rFonts w:eastAsia="仿宋_GB2312"/>
                <w:sz w:val="24"/>
                <w:szCs w:val="24"/>
              </w:rPr>
            </w:pPr>
          </w:p>
        </w:tc>
        <w:tc>
          <w:tcPr>
            <w:tcW w:w="6237" w:type="dxa"/>
            <w:vAlign w:val="center"/>
          </w:tcPr>
          <w:p w14:paraId="495F2F01">
            <w:pPr>
              <w:spacing w:line="300" w:lineRule="exact"/>
              <w:rPr>
                <w:rFonts w:eastAsia="仿宋_GB2312"/>
                <w:kern w:val="0"/>
                <w:sz w:val="24"/>
                <w:szCs w:val="24"/>
              </w:rPr>
            </w:pPr>
            <w:r>
              <w:rPr>
                <w:rFonts w:eastAsia="仿宋_GB2312"/>
                <w:kern w:val="0"/>
                <w:sz w:val="24"/>
                <w:szCs w:val="24"/>
              </w:rPr>
              <w:t>8.</w:t>
            </w:r>
            <w:r>
              <w:rPr>
                <w:rFonts w:hint="eastAsia" w:eastAsia="仿宋_GB2312" w:cs="仿宋_GB2312"/>
                <w:kern w:val="0"/>
                <w:sz w:val="24"/>
                <w:szCs w:val="24"/>
              </w:rPr>
              <w:t>机械设备维护保养存在漏签情况。</w:t>
            </w:r>
          </w:p>
        </w:tc>
      </w:tr>
      <w:tr w14:paraId="5A6380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070" w:hRule="exact"/>
        </w:trPr>
        <w:tc>
          <w:tcPr>
            <w:tcW w:w="748" w:type="dxa"/>
            <w:vMerge w:val="restart"/>
            <w:vAlign w:val="center"/>
          </w:tcPr>
          <w:p w14:paraId="28BADB74">
            <w:pPr>
              <w:spacing w:line="300" w:lineRule="exact"/>
              <w:jc w:val="center"/>
              <w:rPr>
                <w:rFonts w:eastAsia="仿宋_GB2312"/>
                <w:sz w:val="24"/>
                <w:szCs w:val="24"/>
              </w:rPr>
            </w:pPr>
            <w:r>
              <w:rPr>
                <w:rFonts w:eastAsia="仿宋_GB2312"/>
                <w:sz w:val="24"/>
                <w:szCs w:val="24"/>
              </w:rPr>
              <w:t>5</w:t>
            </w:r>
          </w:p>
        </w:tc>
        <w:tc>
          <w:tcPr>
            <w:tcW w:w="2094" w:type="dxa"/>
            <w:vMerge w:val="restart"/>
            <w:vAlign w:val="center"/>
          </w:tcPr>
          <w:p w14:paraId="05A891B6">
            <w:pPr>
              <w:spacing w:line="300" w:lineRule="exact"/>
              <w:jc w:val="center"/>
              <w:rPr>
                <w:rFonts w:eastAsia="仿宋_GB2312"/>
                <w:sz w:val="24"/>
                <w:szCs w:val="24"/>
              </w:rPr>
            </w:pPr>
            <w:r>
              <w:rPr>
                <w:rFonts w:eastAsia="仿宋_GB2312"/>
                <w:sz w:val="24"/>
                <w:szCs w:val="24"/>
              </w:rPr>
              <w:t>“</w:t>
            </w:r>
            <w:r>
              <w:rPr>
                <w:rFonts w:hint="eastAsia" w:eastAsia="仿宋_GB2312" w:cs="仿宋_GB2312"/>
                <w:sz w:val="24"/>
                <w:szCs w:val="24"/>
              </w:rPr>
              <w:t>十四五</w:t>
            </w:r>
            <w:r>
              <w:rPr>
                <w:rFonts w:eastAsia="仿宋_GB2312"/>
                <w:sz w:val="24"/>
                <w:szCs w:val="24"/>
              </w:rPr>
              <w:t>”</w:t>
            </w:r>
            <w:r>
              <w:rPr>
                <w:rFonts w:hint="eastAsia" w:eastAsia="仿宋_GB2312" w:cs="仿宋_GB2312"/>
                <w:sz w:val="24"/>
                <w:szCs w:val="24"/>
              </w:rPr>
              <w:t>福建省山美大型灌区续建配套与现代化改造工程</w:t>
            </w:r>
            <w:r>
              <w:rPr>
                <w:rFonts w:eastAsia="仿宋_GB2312"/>
                <w:sz w:val="24"/>
                <w:szCs w:val="24"/>
              </w:rPr>
              <w:t>—</w:t>
            </w:r>
            <w:r>
              <w:rPr>
                <w:rFonts w:hint="eastAsia" w:eastAsia="仿宋_GB2312" w:cs="仿宋_GB2312"/>
                <w:sz w:val="24"/>
                <w:szCs w:val="24"/>
              </w:rPr>
              <w:t>惠安灌片改造工程</w:t>
            </w:r>
          </w:p>
        </w:tc>
        <w:tc>
          <w:tcPr>
            <w:tcW w:w="6237" w:type="dxa"/>
            <w:vAlign w:val="center"/>
          </w:tcPr>
          <w:p w14:paraId="3ACBD334">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现场检查惠东干渠明渠段（桩号</w:t>
            </w:r>
            <w:r>
              <w:rPr>
                <w:rFonts w:eastAsia="仿宋_GB2312"/>
                <w:kern w:val="0"/>
                <w:sz w:val="24"/>
                <w:szCs w:val="24"/>
              </w:rPr>
              <w:t>HD1+380~HD1+419</w:t>
            </w:r>
            <w:r>
              <w:rPr>
                <w:rFonts w:hint="eastAsia" w:eastAsia="仿宋_GB2312" w:cs="仿宋_GB2312"/>
                <w:kern w:val="0"/>
                <w:sz w:val="24"/>
                <w:szCs w:val="24"/>
              </w:rPr>
              <w:t>），不符合设计要求，应予以返工处理，且该段未进行重要隐蔽验收。</w:t>
            </w:r>
          </w:p>
        </w:tc>
      </w:tr>
      <w:tr w14:paraId="62F20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14:paraId="5CAD31A6">
            <w:pPr>
              <w:rPr>
                <w:rFonts w:eastAsia="仿宋_GB2312"/>
                <w:sz w:val="24"/>
                <w:szCs w:val="24"/>
              </w:rPr>
            </w:pPr>
          </w:p>
        </w:tc>
        <w:tc>
          <w:tcPr>
            <w:tcW w:w="0" w:type="auto"/>
            <w:vMerge w:val="continue"/>
            <w:vAlign w:val="center"/>
          </w:tcPr>
          <w:p w14:paraId="4B71BE0C">
            <w:pPr>
              <w:rPr>
                <w:rFonts w:eastAsia="仿宋_GB2312"/>
                <w:sz w:val="24"/>
                <w:szCs w:val="24"/>
              </w:rPr>
            </w:pPr>
          </w:p>
        </w:tc>
        <w:tc>
          <w:tcPr>
            <w:tcW w:w="6237" w:type="dxa"/>
            <w:vAlign w:val="center"/>
          </w:tcPr>
          <w:p w14:paraId="726B39CC">
            <w:pPr>
              <w:spacing w:line="300" w:lineRule="exact"/>
              <w:rPr>
                <w:rFonts w:eastAsia="仿宋_GB2312"/>
                <w:kern w:val="0"/>
                <w:sz w:val="24"/>
                <w:szCs w:val="24"/>
                <w:highlight w:val="yellow"/>
              </w:rPr>
            </w:pPr>
            <w:r>
              <w:rPr>
                <w:rFonts w:eastAsia="仿宋_GB2312"/>
                <w:kern w:val="0"/>
                <w:sz w:val="24"/>
                <w:szCs w:val="24"/>
              </w:rPr>
              <w:t>2.</w:t>
            </w:r>
            <w:r>
              <w:rPr>
                <w:rFonts w:hint="eastAsia" w:eastAsia="仿宋_GB2312" w:cs="仿宋_GB2312"/>
                <w:kern w:val="0"/>
                <w:sz w:val="24"/>
                <w:szCs w:val="24"/>
              </w:rPr>
              <w:t>设计单位尚未开展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14:paraId="3FB9DF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14:paraId="64279CE5">
            <w:pPr>
              <w:rPr>
                <w:rFonts w:eastAsia="仿宋_GB2312"/>
                <w:sz w:val="24"/>
                <w:szCs w:val="24"/>
              </w:rPr>
            </w:pPr>
          </w:p>
        </w:tc>
        <w:tc>
          <w:tcPr>
            <w:tcW w:w="2094" w:type="dxa"/>
            <w:vMerge w:val="continue"/>
            <w:vAlign w:val="center"/>
          </w:tcPr>
          <w:p w14:paraId="2609AEDD">
            <w:pPr>
              <w:rPr>
                <w:rFonts w:eastAsia="仿宋_GB2312"/>
                <w:sz w:val="24"/>
                <w:szCs w:val="24"/>
              </w:rPr>
            </w:pPr>
          </w:p>
        </w:tc>
        <w:tc>
          <w:tcPr>
            <w:tcW w:w="6237" w:type="dxa"/>
            <w:vAlign w:val="center"/>
          </w:tcPr>
          <w:p w14:paraId="247DA8CC">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监理规划内容未包括安全监理方案。</w:t>
            </w:r>
          </w:p>
        </w:tc>
      </w:tr>
      <w:tr w14:paraId="560D5D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14:paraId="0BC5E236">
            <w:pPr>
              <w:rPr>
                <w:rFonts w:eastAsia="仿宋_GB2312"/>
                <w:sz w:val="24"/>
                <w:szCs w:val="24"/>
              </w:rPr>
            </w:pPr>
          </w:p>
        </w:tc>
        <w:tc>
          <w:tcPr>
            <w:tcW w:w="0" w:type="auto"/>
            <w:vMerge w:val="continue"/>
            <w:vAlign w:val="center"/>
          </w:tcPr>
          <w:p w14:paraId="6D93C135">
            <w:pPr>
              <w:rPr>
                <w:rFonts w:eastAsia="仿宋_GB2312"/>
                <w:sz w:val="24"/>
                <w:szCs w:val="24"/>
              </w:rPr>
            </w:pPr>
          </w:p>
        </w:tc>
        <w:tc>
          <w:tcPr>
            <w:tcW w:w="6237" w:type="dxa"/>
            <w:vAlign w:val="center"/>
          </w:tcPr>
          <w:p w14:paraId="6B208606">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监理单位未审查施工组织中的安全技术措施。</w:t>
            </w:r>
          </w:p>
        </w:tc>
      </w:tr>
      <w:tr w14:paraId="2B739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14:paraId="454BA817">
            <w:pPr>
              <w:rPr>
                <w:rFonts w:eastAsia="仿宋_GB2312"/>
                <w:sz w:val="24"/>
                <w:szCs w:val="24"/>
              </w:rPr>
            </w:pPr>
          </w:p>
        </w:tc>
        <w:tc>
          <w:tcPr>
            <w:tcW w:w="2094" w:type="dxa"/>
            <w:vMerge w:val="continue"/>
            <w:vAlign w:val="center"/>
          </w:tcPr>
          <w:p w14:paraId="39DCC3E2">
            <w:pPr>
              <w:rPr>
                <w:rFonts w:eastAsia="仿宋_GB2312"/>
                <w:sz w:val="24"/>
                <w:szCs w:val="24"/>
              </w:rPr>
            </w:pPr>
          </w:p>
        </w:tc>
        <w:tc>
          <w:tcPr>
            <w:tcW w:w="6237" w:type="dxa"/>
            <w:vAlign w:val="center"/>
          </w:tcPr>
          <w:p w14:paraId="4664467D">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施工单位尚未开展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14:paraId="43ADB9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14:paraId="2FFC2296">
            <w:pPr>
              <w:rPr>
                <w:rFonts w:eastAsia="仿宋_GB2312"/>
                <w:sz w:val="24"/>
                <w:szCs w:val="24"/>
              </w:rPr>
            </w:pPr>
          </w:p>
        </w:tc>
        <w:tc>
          <w:tcPr>
            <w:tcW w:w="2094" w:type="dxa"/>
            <w:vMerge w:val="continue"/>
            <w:vAlign w:val="center"/>
          </w:tcPr>
          <w:p w14:paraId="3DF83C1D">
            <w:pPr>
              <w:rPr>
                <w:rFonts w:eastAsia="仿宋_GB2312"/>
                <w:sz w:val="24"/>
                <w:szCs w:val="24"/>
              </w:rPr>
            </w:pPr>
          </w:p>
        </w:tc>
        <w:tc>
          <w:tcPr>
            <w:tcW w:w="6237" w:type="dxa"/>
            <w:vAlign w:val="center"/>
          </w:tcPr>
          <w:p w14:paraId="50FC15F4">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施工单位测量仪器设备未进行报审进场。</w:t>
            </w:r>
          </w:p>
        </w:tc>
      </w:tr>
      <w:tr w14:paraId="019FA3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14:paraId="1898FC54">
            <w:pPr>
              <w:rPr>
                <w:rFonts w:eastAsia="仿宋_GB2312"/>
                <w:sz w:val="24"/>
                <w:szCs w:val="24"/>
              </w:rPr>
            </w:pPr>
          </w:p>
        </w:tc>
        <w:tc>
          <w:tcPr>
            <w:tcW w:w="0" w:type="auto"/>
            <w:vMerge w:val="continue"/>
            <w:vAlign w:val="center"/>
          </w:tcPr>
          <w:p w14:paraId="131C4CC6">
            <w:pPr>
              <w:rPr>
                <w:rFonts w:eastAsia="仿宋_GB2312"/>
                <w:sz w:val="24"/>
                <w:szCs w:val="24"/>
              </w:rPr>
            </w:pPr>
          </w:p>
        </w:tc>
        <w:tc>
          <w:tcPr>
            <w:tcW w:w="6237" w:type="dxa"/>
            <w:vAlign w:val="center"/>
          </w:tcPr>
          <w:p w14:paraId="1FCFE0D3">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施</w:t>
            </w:r>
            <w:r>
              <w:rPr>
                <w:rFonts w:hint="eastAsia" w:eastAsia="仿宋_GB2312" w:cs="仿宋_GB2312"/>
                <w:spacing w:val="-4"/>
                <w:kern w:val="0"/>
                <w:sz w:val="24"/>
                <w:szCs w:val="24"/>
              </w:rPr>
              <w:t>工单位对新入场的工人安全生产教育和培训缺乏针对性。</w:t>
            </w:r>
          </w:p>
        </w:tc>
      </w:tr>
      <w:tr w14:paraId="5DDFF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14:paraId="004E344B">
            <w:pPr>
              <w:rPr>
                <w:rFonts w:eastAsia="仿宋_GB2312"/>
                <w:sz w:val="24"/>
                <w:szCs w:val="24"/>
              </w:rPr>
            </w:pPr>
          </w:p>
        </w:tc>
        <w:tc>
          <w:tcPr>
            <w:tcW w:w="0" w:type="auto"/>
            <w:vMerge w:val="continue"/>
            <w:vAlign w:val="center"/>
          </w:tcPr>
          <w:p w14:paraId="6EAC5C96">
            <w:pPr>
              <w:rPr>
                <w:rFonts w:eastAsia="仿宋_GB2312"/>
                <w:sz w:val="24"/>
                <w:szCs w:val="24"/>
              </w:rPr>
            </w:pPr>
          </w:p>
        </w:tc>
        <w:tc>
          <w:tcPr>
            <w:tcW w:w="6237" w:type="dxa"/>
            <w:vAlign w:val="center"/>
          </w:tcPr>
          <w:p w14:paraId="691434E0">
            <w:pPr>
              <w:spacing w:line="300" w:lineRule="exact"/>
              <w:rPr>
                <w:rFonts w:eastAsia="仿宋_GB2312"/>
                <w:kern w:val="0"/>
                <w:sz w:val="24"/>
                <w:szCs w:val="24"/>
              </w:rPr>
            </w:pPr>
            <w:r>
              <w:rPr>
                <w:rFonts w:eastAsia="仿宋_GB2312"/>
                <w:kern w:val="0"/>
                <w:sz w:val="24"/>
                <w:szCs w:val="24"/>
              </w:rPr>
              <w:t>8.</w:t>
            </w:r>
            <w:r>
              <w:rPr>
                <w:rFonts w:hint="eastAsia" w:eastAsia="仿宋_GB2312" w:cs="仿宋_GB2312"/>
                <w:kern w:val="0"/>
                <w:sz w:val="24"/>
                <w:szCs w:val="24"/>
              </w:rPr>
              <w:t>施工单位危险源辨识未按新规进行修订。</w:t>
            </w:r>
          </w:p>
        </w:tc>
      </w:tr>
      <w:tr w14:paraId="40662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restart"/>
            <w:vAlign w:val="center"/>
          </w:tcPr>
          <w:p w14:paraId="5EEA8AB0">
            <w:pPr>
              <w:spacing w:line="300" w:lineRule="exact"/>
              <w:jc w:val="center"/>
              <w:rPr>
                <w:rFonts w:eastAsia="仿宋_GB2312"/>
                <w:sz w:val="24"/>
                <w:szCs w:val="24"/>
              </w:rPr>
            </w:pPr>
            <w:r>
              <w:rPr>
                <w:rFonts w:eastAsia="仿宋_GB2312"/>
                <w:sz w:val="24"/>
                <w:szCs w:val="24"/>
              </w:rPr>
              <w:t>6</w:t>
            </w:r>
          </w:p>
        </w:tc>
        <w:tc>
          <w:tcPr>
            <w:tcW w:w="2094" w:type="dxa"/>
            <w:vMerge w:val="restart"/>
            <w:vAlign w:val="center"/>
          </w:tcPr>
          <w:p w14:paraId="5EF10373">
            <w:pPr>
              <w:spacing w:line="300" w:lineRule="exact"/>
              <w:jc w:val="center"/>
              <w:rPr>
                <w:rFonts w:eastAsia="仿宋_GB2312"/>
                <w:sz w:val="24"/>
                <w:szCs w:val="24"/>
              </w:rPr>
            </w:pPr>
            <w:r>
              <w:rPr>
                <w:rFonts w:eastAsia="仿宋_GB2312"/>
                <w:sz w:val="24"/>
                <w:szCs w:val="24"/>
              </w:rPr>
              <w:t xml:space="preserve"> </w:t>
            </w:r>
            <w:r>
              <w:rPr>
                <w:rFonts w:hint="eastAsia" w:eastAsia="仿宋_GB2312" w:cs="仿宋_GB2312"/>
                <w:sz w:val="24"/>
                <w:szCs w:val="24"/>
              </w:rPr>
              <w:t>“十四五”福建省山美大型灌区续建配套与现代化改造工程</w:t>
            </w:r>
            <w:r>
              <w:rPr>
                <w:rFonts w:eastAsia="仿宋_GB2312"/>
                <w:sz w:val="24"/>
                <w:szCs w:val="24"/>
              </w:rPr>
              <w:t>—</w:t>
            </w:r>
            <w:r>
              <w:rPr>
                <w:rFonts w:hint="eastAsia" w:eastAsia="仿宋_GB2312" w:cs="仿宋_GB2312"/>
                <w:sz w:val="24"/>
                <w:szCs w:val="24"/>
              </w:rPr>
              <w:t>仕头干渠会展新城段改造工程</w:t>
            </w:r>
          </w:p>
        </w:tc>
        <w:tc>
          <w:tcPr>
            <w:tcW w:w="6237" w:type="dxa"/>
            <w:vAlign w:val="center"/>
          </w:tcPr>
          <w:p w14:paraId="1908F39C">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新建配电房外现场堆放袋装水泥不符合设计要求，防水卷材、腻子粉等未进行送检报验。</w:t>
            </w:r>
          </w:p>
        </w:tc>
      </w:tr>
      <w:tr w14:paraId="2EFE4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14:paraId="522ED578">
            <w:pPr>
              <w:rPr>
                <w:rFonts w:eastAsia="仿宋_GB2312"/>
                <w:sz w:val="24"/>
                <w:szCs w:val="24"/>
              </w:rPr>
            </w:pPr>
          </w:p>
        </w:tc>
        <w:tc>
          <w:tcPr>
            <w:tcW w:w="0" w:type="auto"/>
            <w:vMerge w:val="continue"/>
            <w:vAlign w:val="center"/>
          </w:tcPr>
          <w:p w14:paraId="2EEEE94E">
            <w:pPr>
              <w:rPr>
                <w:rFonts w:eastAsia="仿宋_GB2312"/>
                <w:sz w:val="24"/>
                <w:szCs w:val="24"/>
              </w:rPr>
            </w:pPr>
          </w:p>
        </w:tc>
        <w:tc>
          <w:tcPr>
            <w:tcW w:w="6237" w:type="dxa"/>
            <w:vAlign w:val="center"/>
          </w:tcPr>
          <w:p w14:paraId="1616CEC0">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新建配电房外脚手架底部积水严重，部分立杆立于边坡上，未设置连墙点，转角位置未设置剪刀撑。</w:t>
            </w:r>
          </w:p>
        </w:tc>
      </w:tr>
      <w:tr w14:paraId="5CA384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14:paraId="126D123D">
            <w:pPr>
              <w:rPr>
                <w:rFonts w:eastAsia="仿宋_GB2312"/>
                <w:sz w:val="24"/>
                <w:szCs w:val="24"/>
              </w:rPr>
            </w:pPr>
          </w:p>
        </w:tc>
        <w:tc>
          <w:tcPr>
            <w:tcW w:w="2094" w:type="dxa"/>
            <w:vMerge w:val="continue"/>
            <w:vAlign w:val="center"/>
          </w:tcPr>
          <w:p w14:paraId="4A134311">
            <w:pPr>
              <w:rPr>
                <w:rFonts w:eastAsia="仿宋_GB2312"/>
                <w:sz w:val="24"/>
                <w:szCs w:val="24"/>
              </w:rPr>
            </w:pPr>
          </w:p>
        </w:tc>
        <w:tc>
          <w:tcPr>
            <w:tcW w:w="6237" w:type="dxa"/>
            <w:vAlign w:val="center"/>
          </w:tcPr>
          <w:p w14:paraId="50A219FF">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水泵房改造装修满堂脚手架无施工方案，未设置上下通道。</w:t>
            </w:r>
          </w:p>
        </w:tc>
      </w:tr>
      <w:tr w14:paraId="5E330E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050" w:hRule="exact"/>
        </w:trPr>
        <w:tc>
          <w:tcPr>
            <w:tcW w:w="748" w:type="dxa"/>
            <w:vMerge w:val="continue"/>
            <w:vAlign w:val="center"/>
          </w:tcPr>
          <w:p w14:paraId="44700EC8">
            <w:pPr>
              <w:rPr>
                <w:rFonts w:eastAsia="仿宋_GB2312"/>
                <w:sz w:val="24"/>
                <w:szCs w:val="24"/>
              </w:rPr>
            </w:pPr>
          </w:p>
        </w:tc>
        <w:tc>
          <w:tcPr>
            <w:tcW w:w="2094" w:type="dxa"/>
            <w:vMerge w:val="continue"/>
            <w:vAlign w:val="center"/>
          </w:tcPr>
          <w:p w14:paraId="5F4B081B">
            <w:pPr>
              <w:rPr>
                <w:rFonts w:eastAsia="仿宋_GB2312"/>
                <w:sz w:val="24"/>
                <w:szCs w:val="24"/>
              </w:rPr>
            </w:pPr>
          </w:p>
        </w:tc>
        <w:tc>
          <w:tcPr>
            <w:tcW w:w="6237" w:type="dxa"/>
            <w:vAlign w:val="center"/>
          </w:tcPr>
          <w:p w14:paraId="4D8351EA">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新建配电房外、水泵房室外临时配电箱无防护措施，箱壳未进行接地保护，使用非标护套线，电缆拖地，电工未在现场时，未拉闸上锁。</w:t>
            </w:r>
          </w:p>
        </w:tc>
      </w:tr>
      <w:tr w14:paraId="26DAA3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050" w:hRule="exact"/>
        </w:trPr>
        <w:tc>
          <w:tcPr>
            <w:tcW w:w="748" w:type="dxa"/>
            <w:vMerge w:val="continue"/>
            <w:vAlign w:val="center"/>
          </w:tcPr>
          <w:p w14:paraId="6AD0EFCF">
            <w:pPr>
              <w:rPr>
                <w:rFonts w:eastAsia="仿宋_GB2312"/>
                <w:sz w:val="24"/>
                <w:szCs w:val="24"/>
              </w:rPr>
            </w:pPr>
          </w:p>
        </w:tc>
        <w:tc>
          <w:tcPr>
            <w:tcW w:w="2094" w:type="dxa"/>
            <w:vMerge w:val="continue"/>
            <w:vAlign w:val="center"/>
          </w:tcPr>
          <w:p w14:paraId="4F4F0C91">
            <w:pPr>
              <w:rPr>
                <w:rFonts w:eastAsia="仿宋_GB2312"/>
                <w:sz w:val="24"/>
                <w:szCs w:val="24"/>
              </w:rPr>
            </w:pPr>
          </w:p>
        </w:tc>
        <w:tc>
          <w:tcPr>
            <w:tcW w:w="6237" w:type="dxa"/>
            <w:vAlign w:val="center"/>
          </w:tcPr>
          <w:p w14:paraId="6F1EAEFD">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进水池开挖影响原泵站渠道挡墙安全，应编制专项方案，论证通过后方可实施。方案未论证通过前应暂停施工，并及时做好安全防护。</w:t>
            </w:r>
          </w:p>
        </w:tc>
      </w:tr>
      <w:tr w14:paraId="70DEF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14:paraId="2D76C742">
            <w:pPr>
              <w:rPr>
                <w:rFonts w:eastAsia="仿宋_GB2312"/>
                <w:sz w:val="24"/>
                <w:szCs w:val="24"/>
              </w:rPr>
            </w:pPr>
          </w:p>
        </w:tc>
        <w:tc>
          <w:tcPr>
            <w:tcW w:w="2094" w:type="dxa"/>
            <w:vMerge w:val="continue"/>
            <w:vAlign w:val="center"/>
          </w:tcPr>
          <w:p w14:paraId="671C00BB">
            <w:pPr>
              <w:rPr>
                <w:rFonts w:eastAsia="仿宋_GB2312"/>
                <w:sz w:val="24"/>
                <w:szCs w:val="24"/>
              </w:rPr>
            </w:pPr>
          </w:p>
        </w:tc>
        <w:tc>
          <w:tcPr>
            <w:tcW w:w="6237" w:type="dxa"/>
            <w:vAlign w:val="center"/>
          </w:tcPr>
          <w:p w14:paraId="1F076D76">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设计单位尚未开展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14:paraId="2AD81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14:paraId="44397D1D">
            <w:pPr>
              <w:rPr>
                <w:rFonts w:eastAsia="仿宋_GB2312"/>
                <w:sz w:val="24"/>
                <w:szCs w:val="24"/>
              </w:rPr>
            </w:pPr>
          </w:p>
        </w:tc>
        <w:tc>
          <w:tcPr>
            <w:tcW w:w="2094" w:type="dxa"/>
            <w:vMerge w:val="continue"/>
            <w:vAlign w:val="center"/>
          </w:tcPr>
          <w:p w14:paraId="30562D12">
            <w:pPr>
              <w:rPr>
                <w:rFonts w:eastAsia="仿宋_GB2312"/>
                <w:sz w:val="24"/>
                <w:szCs w:val="24"/>
              </w:rPr>
            </w:pPr>
          </w:p>
        </w:tc>
        <w:tc>
          <w:tcPr>
            <w:tcW w:w="6237" w:type="dxa"/>
            <w:vAlign w:val="center"/>
          </w:tcPr>
          <w:p w14:paraId="02DDE3FD">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晋江轻工学校门口管坑段管道未做压水试验先行封闭，校门口人员密集，未封闭施工，警示标志不足。</w:t>
            </w:r>
          </w:p>
        </w:tc>
      </w:tr>
      <w:tr w14:paraId="2F1C52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14:paraId="57C8FC78">
            <w:pPr>
              <w:rPr>
                <w:rFonts w:eastAsia="仿宋_GB2312"/>
                <w:sz w:val="24"/>
                <w:szCs w:val="24"/>
              </w:rPr>
            </w:pPr>
          </w:p>
        </w:tc>
        <w:tc>
          <w:tcPr>
            <w:tcW w:w="0" w:type="auto"/>
            <w:vMerge w:val="continue"/>
            <w:vAlign w:val="center"/>
          </w:tcPr>
          <w:p w14:paraId="67EAC1B8">
            <w:pPr>
              <w:rPr>
                <w:rFonts w:eastAsia="仿宋_GB2312"/>
                <w:sz w:val="24"/>
                <w:szCs w:val="24"/>
              </w:rPr>
            </w:pPr>
          </w:p>
        </w:tc>
        <w:tc>
          <w:tcPr>
            <w:tcW w:w="6237" w:type="dxa"/>
            <w:vAlign w:val="center"/>
          </w:tcPr>
          <w:p w14:paraId="50C564DC">
            <w:pPr>
              <w:spacing w:line="300" w:lineRule="exact"/>
              <w:rPr>
                <w:rFonts w:eastAsia="仿宋_GB2312"/>
                <w:kern w:val="0"/>
                <w:sz w:val="24"/>
                <w:szCs w:val="24"/>
              </w:rPr>
            </w:pPr>
            <w:r>
              <w:rPr>
                <w:rFonts w:eastAsia="仿宋_GB2312"/>
                <w:kern w:val="0"/>
                <w:sz w:val="24"/>
                <w:szCs w:val="24"/>
              </w:rPr>
              <w:t>8.</w:t>
            </w:r>
            <w:r>
              <w:rPr>
                <w:rFonts w:hint="eastAsia" w:eastAsia="仿宋_GB2312" w:cs="仿宋_GB2312"/>
                <w:kern w:val="0"/>
                <w:sz w:val="24"/>
                <w:szCs w:val="24"/>
              </w:rPr>
              <w:t>监理单位未审查施组的安全技术措施和专项方案是否符合强条，未对施工单位作业人员执证情况进行复核。</w:t>
            </w:r>
          </w:p>
        </w:tc>
      </w:tr>
      <w:tr w14:paraId="0EBE9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restart"/>
            <w:vAlign w:val="center"/>
          </w:tcPr>
          <w:p w14:paraId="47CA8536">
            <w:pPr>
              <w:jc w:val="center"/>
              <w:rPr>
                <w:rFonts w:eastAsia="仿宋_GB2312"/>
                <w:sz w:val="24"/>
                <w:szCs w:val="24"/>
              </w:rPr>
            </w:pPr>
            <w:r>
              <w:rPr>
                <w:rFonts w:eastAsia="仿宋_GB2312"/>
                <w:sz w:val="24"/>
                <w:szCs w:val="24"/>
              </w:rPr>
              <w:t>6</w:t>
            </w:r>
          </w:p>
        </w:tc>
        <w:tc>
          <w:tcPr>
            <w:tcW w:w="2094" w:type="dxa"/>
            <w:vMerge w:val="restart"/>
            <w:vAlign w:val="center"/>
          </w:tcPr>
          <w:p w14:paraId="193C834E">
            <w:pPr>
              <w:rPr>
                <w:rFonts w:eastAsia="仿宋_GB2312"/>
                <w:sz w:val="24"/>
                <w:szCs w:val="24"/>
              </w:rPr>
            </w:pPr>
            <w:r>
              <w:rPr>
                <w:rFonts w:hint="eastAsia" w:eastAsia="仿宋_GB2312" w:cs="仿宋_GB2312"/>
                <w:sz w:val="24"/>
                <w:szCs w:val="24"/>
              </w:rPr>
              <w:t>“十四五”福建省山美大型灌区续建配套与现代化改造工程</w:t>
            </w:r>
            <w:r>
              <w:rPr>
                <w:rFonts w:eastAsia="仿宋_GB2312"/>
                <w:sz w:val="24"/>
                <w:szCs w:val="24"/>
              </w:rPr>
              <w:t>—</w:t>
            </w:r>
            <w:r>
              <w:rPr>
                <w:rFonts w:hint="eastAsia" w:eastAsia="仿宋_GB2312" w:cs="仿宋_GB2312"/>
                <w:sz w:val="24"/>
                <w:szCs w:val="24"/>
              </w:rPr>
              <w:t>仕头干渠会展新城段改造工程</w:t>
            </w:r>
          </w:p>
        </w:tc>
        <w:tc>
          <w:tcPr>
            <w:tcW w:w="6237" w:type="dxa"/>
            <w:vAlign w:val="center"/>
          </w:tcPr>
          <w:p w14:paraId="2640E879">
            <w:pPr>
              <w:spacing w:line="300" w:lineRule="exact"/>
              <w:rPr>
                <w:rFonts w:eastAsia="仿宋_GB2312"/>
                <w:kern w:val="0"/>
                <w:sz w:val="24"/>
                <w:szCs w:val="24"/>
              </w:rPr>
            </w:pPr>
            <w:r>
              <w:rPr>
                <w:rFonts w:eastAsia="仿宋_GB2312"/>
                <w:kern w:val="0"/>
                <w:sz w:val="24"/>
                <w:szCs w:val="24"/>
              </w:rPr>
              <w:t>9.</w:t>
            </w:r>
            <w:r>
              <w:rPr>
                <w:rFonts w:hint="eastAsia" w:eastAsia="仿宋_GB2312" w:cs="仿宋_GB2312"/>
                <w:kern w:val="0"/>
                <w:sz w:val="24"/>
                <w:szCs w:val="24"/>
              </w:rPr>
              <w:t>施工单位公司与项目部未签订安全责任书。</w:t>
            </w:r>
          </w:p>
        </w:tc>
      </w:tr>
      <w:tr w14:paraId="00E829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7EF7486D">
            <w:pPr>
              <w:rPr>
                <w:rFonts w:eastAsia="仿宋_GB2312"/>
                <w:sz w:val="24"/>
                <w:szCs w:val="24"/>
              </w:rPr>
            </w:pPr>
          </w:p>
        </w:tc>
        <w:tc>
          <w:tcPr>
            <w:tcW w:w="2094" w:type="dxa"/>
            <w:vMerge w:val="continue"/>
            <w:vAlign w:val="center"/>
          </w:tcPr>
          <w:p w14:paraId="4D9E88CA">
            <w:pPr>
              <w:rPr>
                <w:rFonts w:eastAsia="仿宋_GB2312"/>
                <w:sz w:val="24"/>
                <w:szCs w:val="24"/>
              </w:rPr>
            </w:pPr>
          </w:p>
        </w:tc>
        <w:tc>
          <w:tcPr>
            <w:tcW w:w="6237" w:type="dxa"/>
            <w:vAlign w:val="center"/>
          </w:tcPr>
          <w:p w14:paraId="356543BB">
            <w:pPr>
              <w:spacing w:line="300" w:lineRule="exact"/>
              <w:rPr>
                <w:rFonts w:eastAsia="仿宋_GB2312"/>
                <w:kern w:val="0"/>
                <w:sz w:val="24"/>
                <w:szCs w:val="24"/>
              </w:rPr>
            </w:pPr>
            <w:r>
              <w:rPr>
                <w:rFonts w:eastAsia="仿宋_GB2312"/>
                <w:kern w:val="0"/>
                <w:sz w:val="24"/>
                <w:szCs w:val="24"/>
              </w:rPr>
              <w:t>10.</w:t>
            </w:r>
            <w:r>
              <w:rPr>
                <w:rFonts w:hint="eastAsia" w:eastAsia="仿宋_GB2312" w:cs="仿宋_GB2312"/>
                <w:kern w:val="0"/>
                <w:sz w:val="24"/>
                <w:szCs w:val="24"/>
              </w:rPr>
              <w:t>全站仪、水准仪校定有效期均为</w:t>
            </w:r>
            <w:r>
              <w:rPr>
                <w:rFonts w:eastAsia="仿宋_GB2312"/>
                <w:kern w:val="0"/>
                <w:sz w:val="24"/>
                <w:szCs w:val="24"/>
              </w:rPr>
              <w:t>2025</w:t>
            </w:r>
            <w:r>
              <w:rPr>
                <w:rFonts w:hint="eastAsia" w:eastAsia="仿宋_GB2312" w:cs="仿宋_GB2312"/>
                <w:kern w:val="0"/>
                <w:sz w:val="24"/>
                <w:szCs w:val="24"/>
              </w:rPr>
              <w:t>年</w:t>
            </w:r>
            <w:r>
              <w:rPr>
                <w:rFonts w:eastAsia="仿宋_GB2312"/>
                <w:kern w:val="0"/>
                <w:sz w:val="24"/>
                <w:szCs w:val="24"/>
              </w:rPr>
              <w:t>11</w:t>
            </w:r>
            <w:r>
              <w:rPr>
                <w:rFonts w:hint="eastAsia" w:eastAsia="仿宋_GB2312" w:cs="仿宋_GB2312"/>
                <w:kern w:val="0"/>
                <w:sz w:val="24"/>
                <w:szCs w:val="24"/>
              </w:rPr>
              <w:t>月，截止检查日，未重新将校定有关材料报送监理审核。</w:t>
            </w:r>
          </w:p>
        </w:tc>
      </w:tr>
      <w:tr w14:paraId="4937AF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791958A3">
            <w:pPr>
              <w:rPr>
                <w:rFonts w:eastAsia="仿宋_GB2312"/>
                <w:sz w:val="24"/>
                <w:szCs w:val="24"/>
              </w:rPr>
            </w:pPr>
          </w:p>
        </w:tc>
        <w:tc>
          <w:tcPr>
            <w:tcW w:w="2094" w:type="dxa"/>
            <w:vMerge w:val="continue"/>
            <w:vAlign w:val="center"/>
          </w:tcPr>
          <w:p w14:paraId="00D10E09">
            <w:pPr>
              <w:rPr>
                <w:rFonts w:eastAsia="仿宋_GB2312"/>
                <w:sz w:val="24"/>
                <w:szCs w:val="24"/>
              </w:rPr>
            </w:pPr>
          </w:p>
        </w:tc>
        <w:tc>
          <w:tcPr>
            <w:tcW w:w="6237" w:type="dxa"/>
            <w:vAlign w:val="center"/>
          </w:tcPr>
          <w:p w14:paraId="2AA41FCA">
            <w:pPr>
              <w:spacing w:line="300" w:lineRule="exact"/>
              <w:rPr>
                <w:rFonts w:eastAsia="仿宋_GB2312"/>
                <w:kern w:val="0"/>
                <w:sz w:val="24"/>
                <w:szCs w:val="24"/>
              </w:rPr>
            </w:pPr>
            <w:r>
              <w:rPr>
                <w:rFonts w:eastAsia="仿宋_GB2312"/>
                <w:kern w:val="0"/>
                <w:sz w:val="24"/>
                <w:szCs w:val="24"/>
              </w:rPr>
              <w:t>11.</w:t>
            </w:r>
            <w:r>
              <w:rPr>
                <w:rFonts w:hint="eastAsia" w:eastAsia="仿宋_GB2312" w:cs="仿宋_GB2312"/>
                <w:kern w:val="0"/>
                <w:sz w:val="24"/>
                <w:szCs w:val="24"/>
              </w:rPr>
              <w:t>现场未设置事故隐患举报奖励公告牌。</w:t>
            </w:r>
          </w:p>
        </w:tc>
      </w:tr>
      <w:tr w14:paraId="558F0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restart"/>
            <w:vAlign w:val="center"/>
          </w:tcPr>
          <w:p w14:paraId="3A496E44">
            <w:pPr>
              <w:spacing w:line="300" w:lineRule="exact"/>
              <w:jc w:val="center"/>
              <w:rPr>
                <w:rFonts w:eastAsia="仿宋_GB2312"/>
                <w:sz w:val="24"/>
                <w:szCs w:val="24"/>
              </w:rPr>
            </w:pPr>
            <w:r>
              <w:rPr>
                <w:rFonts w:eastAsia="仿宋_GB2312"/>
                <w:sz w:val="24"/>
                <w:szCs w:val="24"/>
              </w:rPr>
              <w:t>7</w:t>
            </w:r>
          </w:p>
        </w:tc>
        <w:tc>
          <w:tcPr>
            <w:tcW w:w="2094" w:type="dxa"/>
            <w:vMerge w:val="restart"/>
            <w:vAlign w:val="center"/>
          </w:tcPr>
          <w:p w14:paraId="67B65AA2">
            <w:pPr>
              <w:spacing w:line="300" w:lineRule="exact"/>
              <w:jc w:val="center"/>
              <w:rPr>
                <w:rFonts w:eastAsia="仿宋_GB2312"/>
                <w:sz w:val="24"/>
                <w:szCs w:val="24"/>
              </w:rPr>
            </w:pPr>
            <w:r>
              <w:rPr>
                <w:rFonts w:eastAsia="仿宋_GB2312"/>
                <w:sz w:val="24"/>
                <w:szCs w:val="24"/>
              </w:rPr>
              <w:t>“</w:t>
            </w:r>
            <w:r>
              <w:rPr>
                <w:rFonts w:hint="eastAsia" w:eastAsia="仿宋_GB2312" w:cs="仿宋_GB2312"/>
                <w:sz w:val="24"/>
                <w:szCs w:val="24"/>
              </w:rPr>
              <w:t>十四五</w:t>
            </w:r>
            <w:r>
              <w:rPr>
                <w:rFonts w:eastAsia="仿宋_GB2312"/>
                <w:sz w:val="24"/>
                <w:szCs w:val="24"/>
              </w:rPr>
              <w:t>”</w:t>
            </w:r>
            <w:r>
              <w:rPr>
                <w:rFonts w:hint="eastAsia" w:eastAsia="仿宋_GB2312" w:cs="仿宋_GB2312"/>
                <w:sz w:val="24"/>
                <w:szCs w:val="24"/>
              </w:rPr>
              <w:t>福建省山美大型灌区续建配套与现代化改造工程</w:t>
            </w:r>
            <w:r>
              <w:rPr>
                <w:rFonts w:eastAsia="仿宋_GB2312"/>
                <w:sz w:val="24"/>
                <w:szCs w:val="24"/>
              </w:rPr>
              <w:t>—</w:t>
            </w:r>
            <w:r>
              <w:rPr>
                <w:rFonts w:hint="eastAsia" w:eastAsia="仿宋_GB2312" w:cs="仿宋_GB2312"/>
                <w:sz w:val="24"/>
                <w:szCs w:val="24"/>
              </w:rPr>
              <w:t>玉田分渠改造工程</w:t>
            </w:r>
          </w:p>
        </w:tc>
        <w:tc>
          <w:tcPr>
            <w:tcW w:w="6237" w:type="dxa"/>
            <w:vAlign w:val="center"/>
          </w:tcPr>
          <w:p w14:paraId="5D13CE75">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总监未在岗履职。</w:t>
            </w:r>
          </w:p>
        </w:tc>
      </w:tr>
      <w:tr w14:paraId="5088FF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64FF4ECE">
            <w:pPr>
              <w:rPr>
                <w:rFonts w:eastAsia="仿宋_GB2312"/>
                <w:sz w:val="24"/>
                <w:szCs w:val="24"/>
              </w:rPr>
            </w:pPr>
          </w:p>
        </w:tc>
        <w:tc>
          <w:tcPr>
            <w:tcW w:w="2094" w:type="dxa"/>
            <w:vMerge w:val="continue"/>
            <w:vAlign w:val="center"/>
          </w:tcPr>
          <w:p w14:paraId="3B77B062">
            <w:pPr>
              <w:rPr>
                <w:rFonts w:eastAsia="仿宋_GB2312"/>
                <w:sz w:val="24"/>
                <w:szCs w:val="24"/>
              </w:rPr>
            </w:pPr>
          </w:p>
        </w:tc>
        <w:tc>
          <w:tcPr>
            <w:tcW w:w="6237" w:type="dxa"/>
            <w:vAlign w:val="center"/>
          </w:tcPr>
          <w:p w14:paraId="49DFDE99">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桩号</w:t>
            </w:r>
            <w:r>
              <w:rPr>
                <w:rFonts w:eastAsia="仿宋_GB2312"/>
                <w:kern w:val="0"/>
                <w:sz w:val="24"/>
                <w:szCs w:val="24"/>
              </w:rPr>
              <w:t>YT1+450~YT1+650</w:t>
            </w:r>
            <w:r>
              <w:rPr>
                <w:rFonts w:hint="eastAsia" w:eastAsia="仿宋_GB2312" w:cs="仿宋_GB2312"/>
                <w:kern w:val="0"/>
                <w:sz w:val="24"/>
                <w:szCs w:val="24"/>
              </w:rPr>
              <w:t>部分挡墙伸缩伸缩缝和压顶伸缩缝错缝未贯通。</w:t>
            </w:r>
          </w:p>
        </w:tc>
      </w:tr>
      <w:tr w14:paraId="424AB8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7F450D77">
            <w:pPr>
              <w:rPr>
                <w:rFonts w:eastAsia="仿宋_GB2312"/>
                <w:sz w:val="24"/>
                <w:szCs w:val="24"/>
              </w:rPr>
            </w:pPr>
          </w:p>
        </w:tc>
        <w:tc>
          <w:tcPr>
            <w:tcW w:w="2094" w:type="dxa"/>
            <w:vMerge w:val="continue"/>
            <w:vAlign w:val="center"/>
          </w:tcPr>
          <w:p w14:paraId="6598F891">
            <w:pPr>
              <w:rPr>
                <w:rFonts w:eastAsia="仿宋_GB2312"/>
                <w:sz w:val="24"/>
                <w:szCs w:val="24"/>
              </w:rPr>
            </w:pPr>
          </w:p>
        </w:tc>
        <w:tc>
          <w:tcPr>
            <w:tcW w:w="6237" w:type="dxa"/>
            <w:vAlign w:val="center"/>
          </w:tcPr>
          <w:p w14:paraId="0C0A4C86">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设计单位尚未开展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14:paraId="3EE46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0AC6ABAC">
            <w:pPr>
              <w:rPr>
                <w:rFonts w:eastAsia="仿宋_GB2312"/>
                <w:sz w:val="24"/>
                <w:szCs w:val="24"/>
              </w:rPr>
            </w:pPr>
          </w:p>
        </w:tc>
        <w:tc>
          <w:tcPr>
            <w:tcW w:w="2094" w:type="dxa"/>
            <w:vMerge w:val="continue"/>
            <w:vAlign w:val="center"/>
          </w:tcPr>
          <w:p w14:paraId="560281F8">
            <w:pPr>
              <w:rPr>
                <w:rFonts w:eastAsia="仿宋_GB2312"/>
                <w:sz w:val="24"/>
                <w:szCs w:val="24"/>
              </w:rPr>
            </w:pPr>
          </w:p>
        </w:tc>
        <w:tc>
          <w:tcPr>
            <w:tcW w:w="6237" w:type="dxa"/>
            <w:vAlign w:val="center"/>
          </w:tcPr>
          <w:p w14:paraId="36488BE1">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安全监理方案缺乏针对性。</w:t>
            </w:r>
          </w:p>
        </w:tc>
      </w:tr>
      <w:tr w14:paraId="08D42E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13FF0276">
            <w:pPr>
              <w:rPr>
                <w:rFonts w:eastAsia="仿宋_GB2312"/>
                <w:sz w:val="24"/>
                <w:szCs w:val="24"/>
              </w:rPr>
            </w:pPr>
          </w:p>
        </w:tc>
        <w:tc>
          <w:tcPr>
            <w:tcW w:w="2094" w:type="dxa"/>
            <w:vMerge w:val="continue"/>
            <w:vAlign w:val="center"/>
          </w:tcPr>
          <w:p w14:paraId="59B6F391">
            <w:pPr>
              <w:rPr>
                <w:rFonts w:eastAsia="仿宋_GB2312"/>
                <w:sz w:val="24"/>
                <w:szCs w:val="24"/>
              </w:rPr>
            </w:pPr>
          </w:p>
        </w:tc>
        <w:tc>
          <w:tcPr>
            <w:tcW w:w="6237" w:type="dxa"/>
            <w:vAlign w:val="center"/>
          </w:tcPr>
          <w:p w14:paraId="59E2CBF0">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施工单位部分工种安全技术交底内容针对性不强。</w:t>
            </w:r>
          </w:p>
        </w:tc>
      </w:tr>
      <w:tr w14:paraId="2B271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550BCE9E">
            <w:pPr>
              <w:rPr>
                <w:rFonts w:eastAsia="仿宋_GB2312"/>
                <w:sz w:val="24"/>
                <w:szCs w:val="24"/>
              </w:rPr>
            </w:pPr>
          </w:p>
        </w:tc>
        <w:tc>
          <w:tcPr>
            <w:tcW w:w="2094" w:type="dxa"/>
            <w:vMerge w:val="continue"/>
            <w:vAlign w:val="center"/>
          </w:tcPr>
          <w:p w14:paraId="16FB690A">
            <w:pPr>
              <w:rPr>
                <w:rFonts w:eastAsia="仿宋_GB2312"/>
                <w:sz w:val="24"/>
                <w:szCs w:val="24"/>
              </w:rPr>
            </w:pPr>
          </w:p>
        </w:tc>
        <w:tc>
          <w:tcPr>
            <w:tcW w:w="6237" w:type="dxa"/>
            <w:vAlign w:val="center"/>
          </w:tcPr>
          <w:p w14:paraId="1DA23703">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施工单位危险源辨识与风险评价未按新规进行修订。</w:t>
            </w:r>
          </w:p>
        </w:tc>
      </w:tr>
      <w:tr w14:paraId="139A0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1CDB3679">
            <w:pPr>
              <w:rPr>
                <w:rFonts w:eastAsia="仿宋_GB2312"/>
                <w:sz w:val="24"/>
                <w:szCs w:val="24"/>
              </w:rPr>
            </w:pPr>
          </w:p>
        </w:tc>
        <w:tc>
          <w:tcPr>
            <w:tcW w:w="2094" w:type="dxa"/>
            <w:vMerge w:val="continue"/>
            <w:vAlign w:val="center"/>
          </w:tcPr>
          <w:p w14:paraId="6F11F2E5">
            <w:pPr>
              <w:rPr>
                <w:rFonts w:eastAsia="仿宋_GB2312"/>
                <w:sz w:val="24"/>
                <w:szCs w:val="24"/>
              </w:rPr>
            </w:pPr>
          </w:p>
        </w:tc>
        <w:tc>
          <w:tcPr>
            <w:tcW w:w="6237" w:type="dxa"/>
            <w:vAlign w:val="center"/>
          </w:tcPr>
          <w:p w14:paraId="32B659B4">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未对防汛演练效果进行评估。</w:t>
            </w:r>
          </w:p>
        </w:tc>
      </w:tr>
      <w:tr w14:paraId="1A2C28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14:paraId="289D7326">
            <w:pPr>
              <w:rPr>
                <w:rFonts w:eastAsia="仿宋_GB2312"/>
                <w:sz w:val="24"/>
                <w:szCs w:val="24"/>
              </w:rPr>
            </w:pPr>
          </w:p>
        </w:tc>
        <w:tc>
          <w:tcPr>
            <w:tcW w:w="2094" w:type="dxa"/>
            <w:vMerge w:val="continue"/>
            <w:vAlign w:val="center"/>
          </w:tcPr>
          <w:p w14:paraId="6E147C1B">
            <w:pPr>
              <w:rPr>
                <w:rFonts w:eastAsia="仿宋_GB2312"/>
                <w:sz w:val="24"/>
                <w:szCs w:val="24"/>
              </w:rPr>
            </w:pPr>
          </w:p>
        </w:tc>
        <w:tc>
          <w:tcPr>
            <w:tcW w:w="6237" w:type="dxa"/>
            <w:vAlign w:val="center"/>
          </w:tcPr>
          <w:p w14:paraId="62503DB7">
            <w:pPr>
              <w:spacing w:line="300" w:lineRule="exact"/>
              <w:rPr>
                <w:rFonts w:eastAsia="仿宋_GB2312"/>
                <w:kern w:val="0"/>
                <w:sz w:val="24"/>
                <w:szCs w:val="24"/>
              </w:rPr>
            </w:pPr>
            <w:r>
              <w:rPr>
                <w:rFonts w:eastAsia="仿宋_GB2312"/>
                <w:kern w:val="0"/>
                <w:sz w:val="24"/>
                <w:szCs w:val="24"/>
              </w:rPr>
              <w:t>8.</w:t>
            </w:r>
            <w:r>
              <w:rPr>
                <w:rFonts w:hint="eastAsia" w:eastAsia="仿宋_GB2312" w:cs="仿宋_GB2312"/>
                <w:kern w:val="0"/>
                <w:sz w:val="24"/>
                <w:szCs w:val="24"/>
              </w:rPr>
              <w:t>未及时组织对桩号</w:t>
            </w:r>
            <w:r>
              <w:rPr>
                <w:rFonts w:eastAsia="仿宋_GB2312"/>
                <w:kern w:val="0"/>
                <w:sz w:val="24"/>
                <w:szCs w:val="24"/>
              </w:rPr>
              <w:t>YT1+532.2~YT1+645.6</w:t>
            </w:r>
            <w:r>
              <w:rPr>
                <w:rFonts w:hint="eastAsia" w:eastAsia="仿宋_GB2312" w:cs="仿宋_GB2312"/>
                <w:kern w:val="0"/>
                <w:sz w:val="24"/>
                <w:szCs w:val="24"/>
              </w:rPr>
              <w:t>右岸砌筑块石挡墙进行质量评定。</w:t>
            </w:r>
          </w:p>
        </w:tc>
      </w:tr>
      <w:tr w14:paraId="06628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restart"/>
            <w:vAlign w:val="center"/>
          </w:tcPr>
          <w:p w14:paraId="30C6E901">
            <w:pPr>
              <w:spacing w:line="300" w:lineRule="exact"/>
              <w:jc w:val="center"/>
              <w:rPr>
                <w:rFonts w:eastAsia="仿宋_GB2312"/>
                <w:sz w:val="24"/>
                <w:szCs w:val="24"/>
              </w:rPr>
            </w:pPr>
            <w:r>
              <w:rPr>
                <w:rFonts w:eastAsia="仿宋_GB2312"/>
                <w:sz w:val="24"/>
                <w:szCs w:val="24"/>
              </w:rPr>
              <w:t>8</w:t>
            </w:r>
          </w:p>
        </w:tc>
        <w:tc>
          <w:tcPr>
            <w:tcW w:w="2094" w:type="dxa"/>
            <w:vMerge w:val="restart"/>
            <w:vAlign w:val="center"/>
          </w:tcPr>
          <w:p w14:paraId="75972DD5">
            <w:pPr>
              <w:spacing w:line="300" w:lineRule="exact"/>
              <w:jc w:val="center"/>
              <w:rPr>
                <w:rFonts w:eastAsia="仿宋_GB2312"/>
                <w:sz w:val="24"/>
                <w:szCs w:val="24"/>
              </w:rPr>
            </w:pPr>
            <w:r>
              <w:rPr>
                <w:rFonts w:hint="eastAsia" w:eastAsia="仿宋_GB2312" w:cs="仿宋_GB2312"/>
                <w:sz w:val="24"/>
                <w:szCs w:val="24"/>
              </w:rPr>
              <w:t>泉港区南埔围垦水闸改建工程</w:t>
            </w:r>
          </w:p>
        </w:tc>
        <w:tc>
          <w:tcPr>
            <w:tcW w:w="6237" w:type="dxa"/>
            <w:vAlign w:val="center"/>
          </w:tcPr>
          <w:p w14:paraId="14995010">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现场检查施工单位未经充分论证，拆除一根施工围堰导流管（总三根）。</w:t>
            </w:r>
          </w:p>
        </w:tc>
      </w:tr>
      <w:tr w14:paraId="0EC8C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26DFAC2C">
            <w:pPr>
              <w:rPr>
                <w:rFonts w:eastAsia="仿宋_GB2312"/>
                <w:sz w:val="24"/>
                <w:szCs w:val="24"/>
              </w:rPr>
            </w:pPr>
          </w:p>
        </w:tc>
        <w:tc>
          <w:tcPr>
            <w:tcW w:w="2094" w:type="dxa"/>
            <w:vMerge w:val="continue"/>
            <w:vAlign w:val="center"/>
          </w:tcPr>
          <w:p w14:paraId="587283B2">
            <w:pPr>
              <w:rPr>
                <w:rFonts w:eastAsia="仿宋_GB2312"/>
                <w:sz w:val="24"/>
                <w:szCs w:val="24"/>
              </w:rPr>
            </w:pPr>
          </w:p>
        </w:tc>
        <w:tc>
          <w:tcPr>
            <w:tcW w:w="6237" w:type="dxa"/>
            <w:vAlign w:val="center"/>
          </w:tcPr>
          <w:p w14:paraId="62C61EBF">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现场检查翼墙钢筋（双排筋宽度）与设计不符。</w:t>
            </w:r>
          </w:p>
        </w:tc>
      </w:tr>
      <w:tr w14:paraId="11A3C9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94" w:hRule="exact"/>
        </w:trPr>
        <w:tc>
          <w:tcPr>
            <w:tcW w:w="748" w:type="dxa"/>
            <w:vMerge w:val="continue"/>
            <w:vAlign w:val="center"/>
          </w:tcPr>
          <w:p w14:paraId="709A2473">
            <w:pPr>
              <w:rPr>
                <w:rFonts w:eastAsia="仿宋_GB2312"/>
                <w:sz w:val="24"/>
                <w:szCs w:val="24"/>
              </w:rPr>
            </w:pPr>
          </w:p>
        </w:tc>
        <w:tc>
          <w:tcPr>
            <w:tcW w:w="2094" w:type="dxa"/>
            <w:vMerge w:val="continue"/>
            <w:vAlign w:val="center"/>
          </w:tcPr>
          <w:p w14:paraId="282BC7F2">
            <w:pPr>
              <w:rPr>
                <w:rFonts w:eastAsia="仿宋_GB2312"/>
                <w:sz w:val="24"/>
                <w:szCs w:val="24"/>
              </w:rPr>
            </w:pPr>
          </w:p>
        </w:tc>
        <w:tc>
          <w:tcPr>
            <w:tcW w:w="6237" w:type="dxa"/>
            <w:vAlign w:val="center"/>
          </w:tcPr>
          <w:p w14:paraId="4D19434C">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现场临时用电电缆拖地，直接搭设在钢管上，未做绝缘防护，两个配电箱设置在边坡临边位置、未进行防护且未进行日常巡检。</w:t>
            </w:r>
          </w:p>
        </w:tc>
      </w:tr>
      <w:tr w14:paraId="668DB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1AEE524A">
            <w:pPr>
              <w:rPr>
                <w:rFonts w:eastAsia="仿宋_GB2312"/>
                <w:sz w:val="24"/>
                <w:szCs w:val="24"/>
              </w:rPr>
            </w:pPr>
          </w:p>
        </w:tc>
        <w:tc>
          <w:tcPr>
            <w:tcW w:w="2094" w:type="dxa"/>
            <w:vMerge w:val="continue"/>
            <w:vAlign w:val="center"/>
          </w:tcPr>
          <w:p w14:paraId="0D700ACE">
            <w:pPr>
              <w:rPr>
                <w:rFonts w:eastAsia="仿宋_GB2312"/>
                <w:sz w:val="24"/>
                <w:szCs w:val="24"/>
              </w:rPr>
            </w:pPr>
          </w:p>
        </w:tc>
        <w:tc>
          <w:tcPr>
            <w:tcW w:w="6237" w:type="dxa"/>
            <w:vAlign w:val="center"/>
          </w:tcPr>
          <w:p w14:paraId="235C0C06">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现场未设置事故隐患举报奖励公告牌。</w:t>
            </w:r>
          </w:p>
        </w:tc>
      </w:tr>
      <w:tr w14:paraId="7B07A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079B200F">
            <w:pPr>
              <w:rPr>
                <w:rFonts w:eastAsia="仿宋_GB2312"/>
                <w:sz w:val="24"/>
                <w:szCs w:val="24"/>
              </w:rPr>
            </w:pPr>
          </w:p>
        </w:tc>
        <w:tc>
          <w:tcPr>
            <w:tcW w:w="2094" w:type="dxa"/>
            <w:vMerge w:val="continue"/>
            <w:vAlign w:val="center"/>
          </w:tcPr>
          <w:p w14:paraId="7E00C3B0">
            <w:pPr>
              <w:rPr>
                <w:rFonts w:eastAsia="仿宋_GB2312"/>
                <w:sz w:val="24"/>
                <w:szCs w:val="24"/>
              </w:rPr>
            </w:pPr>
          </w:p>
        </w:tc>
        <w:tc>
          <w:tcPr>
            <w:tcW w:w="6237" w:type="dxa"/>
            <w:vAlign w:val="center"/>
          </w:tcPr>
          <w:p w14:paraId="194F2764">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项目部消防器材未进行日常巡检。</w:t>
            </w:r>
          </w:p>
        </w:tc>
      </w:tr>
      <w:tr w14:paraId="0AB61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14:paraId="36CD0F93">
            <w:pPr>
              <w:rPr>
                <w:rFonts w:eastAsia="仿宋_GB2312"/>
                <w:sz w:val="24"/>
                <w:szCs w:val="24"/>
              </w:rPr>
            </w:pPr>
          </w:p>
        </w:tc>
        <w:tc>
          <w:tcPr>
            <w:tcW w:w="2094" w:type="dxa"/>
            <w:vMerge w:val="continue"/>
            <w:vAlign w:val="center"/>
          </w:tcPr>
          <w:p w14:paraId="3D4A95CD">
            <w:pPr>
              <w:rPr>
                <w:rFonts w:eastAsia="仿宋_GB2312"/>
                <w:sz w:val="24"/>
                <w:szCs w:val="24"/>
              </w:rPr>
            </w:pPr>
          </w:p>
        </w:tc>
        <w:tc>
          <w:tcPr>
            <w:tcW w:w="6237" w:type="dxa"/>
            <w:vAlign w:val="center"/>
          </w:tcPr>
          <w:p w14:paraId="6F629D81">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施工单位危险源辨识与风险评价未按新规进行修订。</w:t>
            </w:r>
          </w:p>
        </w:tc>
      </w:tr>
      <w:tr w14:paraId="49FC6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14:paraId="34EB504B">
            <w:pPr>
              <w:rPr>
                <w:rFonts w:eastAsia="仿宋_GB2312"/>
                <w:sz w:val="24"/>
                <w:szCs w:val="24"/>
              </w:rPr>
            </w:pPr>
          </w:p>
        </w:tc>
        <w:tc>
          <w:tcPr>
            <w:tcW w:w="2094" w:type="dxa"/>
            <w:vMerge w:val="continue"/>
            <w:vAlign w:val="center"/>
          </w:tcPr>
          <w:p w14:paraId="6A765455">
            <w:pPr>
              <w:rPr>
                <w:rFonts w:eastAsia="仿宋_GB2312"/>
                <w:sz w:val="24"/>
                <w:szCs w:val="24"/>
              </w:rPr>
            </w:pPr>
          </w:p>
        </w:tc>
        <w:tc>
          <w:tcPr>
            <w:tcW w:w="6237" w:type="dxa"/>
            <w:vAlign w:val="center"/>
          </w:tcPr>
          <w:p w14:paraId="22303C67">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部分管理人员未签订</w:t>
            </w:r>
            <w:r>
              <w:rPr>
                <w:rFonts w:eastAsia="仿宋_GB2312"/>
                <w:kern w:val="0"/>
                <w:sz w:val="24"/>
                <w:szCs w:val="24"/>
              </w:rPr>
              <w:t>2025</w:t>
            </w:r>
            <w:r>
              <w:rPr>
                <w:rFonts w:hint="eastAsia" w:eastAsia="仿宋_GB2312" w:cs="仿宋_GB2312"/>
                <w:kern w:val="0"/>
                <w:sz w:val="24"/>
                <w:szCs w:val="24"/>
              </w:rPr>
              <w:t>年安全生产责任状，部分班组与工人安全生产责任书班组长未进行签字。</w:t>
            </w:r>
          </w:p>
        </w:tc>
      </w:tr>
    </w:tbl>
    <w:p w14:paraId="795F2A0F"/>
    <w:sectPr>
      <w:pgSz w:w="11906" w:h="16838"/>
      <w:pgMar w:top="2098"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17BA4"/>
    <w:rsid w:val="24393FF9"/>
    <w:rsid w:val="4F31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2096</Words>
  <Characters>2245</Characters>
  <Lines>0</Lines>
  <Paragraphs>0</Paragraphs>
  <TotalTime>2</TotalTime>
  <ScaleCrop>false</ScaleCrop>
  <LinksUpToDate>false</LinksUpToDate>
  <CharactersWithSpaces>2246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2025-12-29T09:40:00Z</dcterms:created>
  <dc:creator>hik</dc:creator>
  <cp:lastModifiedBy>渝</cp:lastModifiedBy>
  <dcterms:modified xsi:type="dcterms:W3CDTF">2026-01-15T01:53:10Z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2A6F1412977C4E1C8C94000F9DA68082_13</vt:lpwstr>
  </property>
  <property fmtid="{D5CDD505-2E9C-101B-9397-08002B2CF9AE}" pid="4" name="KSOTemplateDocerSaveRecord">
    <vt:lpwstr>eyJoZGlkIjoiNGM2MzU1ZmYxNGE4ODI0ZDI0YTJjMDZlNGYzZDVlMzMiLCJ1c2VySWQiOiIzMDU3NjU4ODAifQ==</vt:lpwstr>
  </property>
</Properties>
</file>