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AFE66D">
      <w:pP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附件2</w:t>
      </w:r>
    </w:p>
    <w:p w14:paraId="1102F00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000000" w:themeColor="text1"/>
          <w:sz w:val="32"/>
          <w:szCs w:val="32"/>
          <w14:textFill>
            <w14:solidFill>
              <w14:schemeClr w14:val="tx1"/>
            </w14:solidFill>
          </w14:textFill>
        </w:rPr>
      </w:pPr>
    </w:p>
    <w:p w14:paraId="35D8A7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泉州市经营主体质量信誉等级评价表</w:t>
      </w:r>
    </w:p>
    <w:p w14:paraId="6FDB840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3"/>
        <w:gridCol w:w="1594"/>
        <w:gridCol w:w="5395"/>
      </w:tblGrid>
      <w:tr w14:paraId="7896E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1533" w:type="dxa"/>
            <w:vAlign w:val="center"/>
          </w:tcPr>
          <w:p w14:paraId="1E4FC2A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color w:val="000000" w:themeColor="text1"/>
                <w:sz w:val="32"/>
                <w:szCs w:val="32"/>
                <w:vertAlign w:val="baseline"/>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质量信誉等级</w:t>
            </w:r>
          </w:p>
        </w:tc>
        <w:tc>
          <w:tcPr>
            <w:tcW w:w="1594" w:type="dxa"/>
            <w:vAlign w:val="center"/>
          </w:tcPr>
          <w:p w14:paraId="51C1315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color w:val="000000" w:themeColor="text1"/>
                <w:sz w:val="32"/>
                <w:szCs w:val="32"/>
                <w:vertAlign w:val="baseline"/>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质量要素指标</w:t>
            </w:r>
          </w:p>
        </w:tc>
        <w:tc>
          <w:tcPr>
            <w:tcW w:w="5395" w:type="dxa"/>
            <w:vAlign w:val="center"/>
          </w:tcPr>
          <w:p w14:paraId="08CFC1A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color w:val="000000" w:themeColor="text1"/>
                <w:sz w:val="32"/>
                <w:szCs w:val="32"/>
                <w:vertAlign w:val="baseline"/>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评价依据</w:t>
            </w:r>
          </w:p>
        </w:tc>
      </w:tr>
      <w:tr w14:paraId="6EF5F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Merge w:val="restart"/>
            <w:vAlign w:val="center"/>
          </w:tcPr>
          <w:p w14:paraId="12EE358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5E1E8EC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质量信誉等级评价Ⅰ类（优秀）</w:t>
            </w:r>
          </w:p>
          <w:p w14:paraId="4C016E7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vertAlign w:val="baseline"/>
                <w14:textFill>
                  <w14:solidFill>
                    <w14:schemeClr w14:val="tx1"/>
                  </w14:solidFill>
                </w14:textFill>
              </w:rPr>
            </w:pPr>
          </w:p>
        </w:tc>
        <w:tc>
          <w:tcPr>
            <w:tcW w:w="1594" w:type="dxa"/>
            <w:vAlign w:val="center"/>
          </w:tcPr>
          <w:p w14:paraId="1F9C7E3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1.企业被确定为质量强国、强省、强市建设领军企业</w:t>
            </w:r>
          </w:p>
        </w:tc>
        <w:tc>
          <w:tcPr>
            <w:tcW w:w="5395" w:type="dxa"/>
            <w:vAlign w:val="top"/>
          </w:tcPr>
          <w:p w14:paraId="3586291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企业被确定为质量强国、强省、强市建设领军企业，意味着这些企业在质量提升、品牌建设、技术创新等方面具有显著的引领和示范作用。领军企业在国家重大战略实施和重点领域安全能力建设相关领域中发挥了重要作用。</w:t>
            </w:r>
          </w:p>
        </w:tc>
      </w:tr>
      <w:tr w14:paraId="31D01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Merge w:val="continue"/>
            <w:vAlign w:val="center"/>
          </w:tcPr>
          <w:p w14:paraId="22FFD69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vertAlign w:val="baseline"/>
                <w14:textFill>
                  <w14:solidFill>
                    <w14:schemeClr w14:val="tx1"/>
                  </w14:solidFill>
                </w14:textFill>
              </w:rPr>
            </w:pPr>
          </w:p>
        </w:tc>
        <w:tc>
          <w:tcPr>
            <w:tcW w:w="1594" w:type="dxa"/>
            <w:vAlign w:val="center"/>
          </w:tcPr>
          <w:p w14:paraId="2BC3C48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2.获国家、省、市各级政府质量奖或提名奖</w:t>
            </w:r>
          </w:p>
        </w:tc>
        <w:tc>
          <w:tcPr>
            <w:tcW w:w="5395" w:type="dxa"/>
            <w:vAlign w:val="top"/>
          </w:tcPr>
          <w:p w14:paraId="25AB14C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中国质量奖是中国质量领域的最高荣誉、福建省政府质量奖是福建省政府设立的最高质量荣誉，</w:t>
            </w:r>
            <w:r>
              <w:rPr>
                <w:rFonts w:hint="eastAsia" w:ascii="仿宋_GB2312" w:hAnsi="仿宋_GB2312" w:eastAsia="仿宋_GB2312" w:cs="仿宋_GB2312"/>
                <w:color w:val="000000" w:themeColor="text1"/>
                <w:sz w:val="32"/>
                <w:szCs w:val="32"/>
                <w:lang w:eastAsia="zh-CN"/>
                <w14:textFill>
                  <w14:solidFill>
                    <w14:schemeClr w14:val="tx1"/>
                  </w14:solidFill>
                </w14:textFill>
              </w:rPr>
              <w:t>泉州</w:t>
            </w:r>
            <w:r>
              <w:rPr>
                <w:rFonts w:hint="eastAsia" w:ascii="仿宋_GB2312" w:hAnsi="仿宋_GB2312" w:eastAsia="仿宋_GB2312" w:cs="仿宋_GB2312"/>
                <w:color w:val="000000" w:themeColor="text1"/>
                <w:sz w:val="32"/>
                <w:szCs w:val="32"/>
                <w14:textFill>
                  <w14:solidFill>
                    <w14:schemeClr w14:val="tx1"/>
                  </w14:solidFill>
                </w14:textFill>
              </w:rPr>
              <w:t>市质量奖是</w:t>
            </w:r>
            <w:r>
              <w:rPr>
                <w:rFonts w:hint="eastAsia" w:ascii="仿宋_GB2312" w:hAnsi="仿宋_GB2312" w:eastAsia="仿宋_GB2312" w:cs="仿宋_GB2312"/>
                <w:color w:val="000000" w:themeColor="text1"/>
                <w:sz w:val="32"/>
                <w:szCs w:val="32"/>
                <w:lang w:eastAsia="zh-CN"/>
                <w14:textFill>
                  <w14:solidFill>
                    <w14:schemeClr w14:val="tx1"/>
                  </w14:solidFill>
                </w14:textFill>
              </w:rPr>
              <w:t>泉州</w:t>
            </w:r>
            <w:r>
              <w:rPr>
                <w:rFonts w:hint="eastAsia" w:ascii="仿宋_GB2312" w:hAnsi="仿宋_GB2312" w:eastAsia="仿宋_GB2312" w:cs="仿宋_GB2312"/>
                <w:color w:val="000000" w:themeColor="text1"/>
                <w:sz w:val="32"/>
                <w:szCs w:val="32"/>
                <w14:textFill>
                  <w14:solidFill>
                    <w14:schemeClr w14:val="tx1"/>
                  </w14:solidFill>
                </w14:textFill>
              </w:rPr>
              <w:t>市最高质量荣誉。质量奖是对在质量管理模式、管理方法和管理制度领域取得重大创新成就的组织进行的质量激励。</w:t>
            </w:r>
          </w:p>
        </w:tc>
      </w:tr>
      <w:tr w14:paraId="08640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Merge w:val="continue"/>
            <w:vAlign w:val="center"/>
          </w:tcPr>
          <w:p w14:paraId="3DE3F5F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vertAlign w:val="baseline"/>
                <w14:textFill>
                  <w14:solidFill>
                    <w14:schemeClr w14:val="tx1"/>
                  </w14:solidFill>
                </w14:textFill>
              </w:rPr>
            </w:pPr>
          </w:p>
        </w:tc>
        <w:tc>
          <w:tcPr>
            <w:tcW w:w="1594" w:type="dxa"/>
            <w:vAlign w:val="center"/>
          </w:tcPr>
          <w:p w14:paraId="6C0F2A0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3.企业获评国家知识产权示范企业</w:t>
            </w:r>
          </w:p>
        </w:tc>
        <w:tc>
          <w:tcPr>
            <w:tcW w:w="5395" w:type="dxa"/>
            <w:vAlign w:val="top"/>
          </w:tcPr>
          <w:p w14:paraId="1D1AD2A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国家知识产权示范企业是指具备知识产权战略理念，知识产权创造、运用、保护、管理能力全面发展，知识产权综合竞争优势突出，具备行业影响力和标杆性的示范性企业。国家知识产权示范企业由国家知识产权局认定，是国家给予企业知识产权管理工作的最高荣誉和评价。</w:t>
            </w:r>
          </w:p>
        </w:tc>
      </w:tr>
      <w:tr w14:paraId="491A8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Merge w:val="continue"/>
            <w:vAlign w:val="center"/>
          </w:tcPr>
          <w:p w14:paraId="1E66FED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vertAlign w:val="baseline"/>
                <w14:textFill>
                  <w14:solidFill>
                    <w14:schemeClr w14:val="tx1"/>
                  </w14:solidFill>
                </w14:textFill>
              </w:rPr>
            </w:pPr>
          </w:p>
        </w:tc>
        <w:tc>
          <w:tcPr>
            <w:tcW w:w="1594" w:type="dxa"/>
            <w:vAlign w:val="center"/>
          </w:tcPr>
          <w:p w14:paraId="6BD8524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4.作为专利权人，拥有的专利获中国专利奖金奖、银奖、优秀奖</w:t>
            </w:r>
          </w:p>
        </w:tc>
        <w:tc>
          <w:tcPr>
            <w:tcW w:w="5395" w:type="dxa"/>
            <w:vAlign w:val="top"/>
          </w:tcPr>
          <w:p w14:paraId="61B087A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中国专利奖为中国知识产权领域最高荣誉奖项，用于表彰取得重大技术创新和产生显著经济社会效益的中国专利而设立的专项奖励项目。</w:t>
            </w:r>
          </w:p>
        </w:tc>
      </w:tr>
      <w:tr w14:paraId="19862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Merge w:val="continue"/>
            <w:vAlign w:val="center"/>
          </w:tcPr>
          <w:p w14:paraId="3482112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vertAlign w:val="baseline"/>
                <w14:textFill>
                  <w14:solidFill>
                    <w14:schemeClr w14:val="tx1"/>
                  </w14:solidFill>
                </w14:textFill>
              </w:rPr>
            </w:pPr>
          </w:p>
        </w:tc>
        <w:tc>
          <w:tcPr>
            <w:tcW w:w="1594" w:type="dxa"/>
            <w:vAlign w:val="center"/>
          </w:tcPr>
          <w:p w14:paraId="072E504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5.企业获得驰名商标保护</w:t>
            </w:r>
          </w:p>
        </w:tc>
        <w:tc>
          <w:tcPr>
            <w:tcW w:w="5395" w:type="dxa"/>
            <w:vAlign w:val="top"/>
          </w:tcPr>
          <w:p w14:paraId="0A10F2D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中国驰名商标是指经过有权机关(国家知识产权局商标局、商标评审委员会或人民法院)依照法律程序认定为“驰名商标”的商标。驰名商标是在中国为相关公众广为知晓并享有较高声誉的商标。</w:t>
            </w:r>
          </w:p>
        </w:tc>
      </w:tr>
      <w:tr w14:paraId="32174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Merge w:val="continue"/>
            <w:vAlign w:val="center"/>
          </w:tcPr>
          <w:p w14:paraId="120109B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vertAlign w:val="baseline"/>
                <w14:textFill>
                  <w14:solidFill>
                    <w14:schemeClr w14:val="tx1"/>
                  </w14:solidFill>
                </w14:textFill>
              </w:rPr>
            </w:pPr>
          </w:p>
        </w:tc>
        <w:tc>
          <w:tcPr>
            <w:tcW w:w="1594" w:type="dxa"/>
            <w:vAlign w:val="center"/>
          </w:tcPr>
          <w:p w14:paraId="7C59E83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6.参与制定修订国际标准；主导制定修订国家标准</w:t>
            </w:r>
          </w:p>
        </w:tc>
        <w:tc>
          <w:tcPr>
            <w:tcW w:w="5395" w:type="dxa"/>
            <w:vAlign w:val="top"/>
          </w:tcPr>
          <w:p w14:paraId="0D4BF5C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国际标准由国际标准化组织发布，在世界范围内统一使用。企业参与制修订国际标准表明企业在国际上具有较高的技术实力和影响力。国家标准由国家标准委发布。企业主导制修订国家标准表明企业在国内具有较高的技术实力和影响力。</w:t>
            </w:r>
          </w:p>
        </w:tc>
      </w:tr>
      <w:tr w14:paraId="2FF7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Merge w:val="continue"/>
            <w:vAlign w:val="center"/>
          </w:tcPr>
          <w:p w14:paraId="653C919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vertAlign w:val="baseline"/>
                <w14:textFill>
                  <w14:solidFill>
                    <w14:schemeClr w14:val="tx1"/>
                  </w14:solidFill>
                </w14:textFill>
              </w:rPr>
            </w:pPr>
          </w:p>
        </w:tc>
        <w:tc>
          <w:tcPr>
            <w:tcW w:w="1594" w:type="dxa"/>
            <w:vAlign w:val="center"/>
          </w:tcPr>
          <w:p w14:paraId="2925C78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7.主导标准获得“中国标准创新贡献奖”“福建省标准贡献奖”</w:t>
            </w:r>
          </w:p>
        </w:tc>
        <w:tc>
          <w:tcPr>
            <w:tcW w:w="5395" w:type="dxa"/>
            <w:vAlign w:val="top"/>
          </w:tcPr>
          <w:p w14:paraId="28CC4B7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中国标准创新贡献奖是由市场监管总局（标准委）设立，并经中央批准的奖项，福建省标准贡献奖由省人民政府设立，表彰在标准化活动中作出突出贡献的组织和个人。</w:t>
            </w:r>
          </w:p>
        </w:tc>
      </w:tr>
      <w:tr w14:paraId="5998A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Merge w:val="continue"/>
            <w:vAlign w:val="center"/>
          </w:tcPr>
          <w:p w14:paraId="481CAF7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vertAlign w:val="baseline"/>
                <w14:textFill>
                  <w14:solidFill>
                    <w14:schemeClr w14:val="tx1"/>
                  </w14:solidFill>
                </w14:textFill>
              </w:rPr>
            </w:pPr>
          </w:p>
        </w:tc>
        <w:tc>
          <w:tcPr>
            <w:tcW w:w="1594" w:type="dxa"/>
            <w:vAlign w:val="center"/>
          </w:tcPr>
          <w:p w14:paraId="4A34FB1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.承担国家级标准化试点示范项目并通过验收</w:t>
            </w:r>
          </w:p>
        </w:tc>
        <w:tc>
          <w:tcPr>
            <w:tcW w:w="5395" w:type="dxa"/>
            <w:vAlign w:val="top"/>
          </w:tcPr>
          <w:p w14:paraId="0F633DB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标准化试点，是探索运用标准化方法、发挥标准化作用，总结可复制、可推广的经验和标准成果而开展的一系列相关联的活动。国家级标准化试点示范项目由国家标准委立项验收，承担单位一般在业内具有较高的技术实力和影响力。</w:t>
            </w:r>
          </w:p>
        </w:tc>
      </w:tr>
      <w:tr w14:paraId="6022D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Merge w:val="continue"/>
            <w:vAlign w:val="center"/>
          </w:tcPr>
          <w:p w14:paraId="13151EF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vertAlign w:val="baseline"/>
                <w14:textFill>
                  <w14:solidFill>
                    <w14:schemeClr w14:val="tx1"/>
                  </w14:solidFill>
                </w14:textFill>
              </w:rPr>
            </w:pPr>
          </w:p>
        </w:tc>
        <w:tc>
          <w:tcPr>
            <w:tcW w:w="1594" w:type="dxa"/>
            <w:vAlign w:val="center"/>
          </w:tcPr>
          <w:p w14:paraId="4460DB1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.获得测量管理体系认证的企业</w:t>
            </w:r>
          </w:p>
        </w:tc>
        <w:tc>
          <w:tcPr>
            <w:tcW w:w="5395" w:type="dxa"/>
            <w:vAlign w:val="top"/>
          </w:tcPr>
          <w:p w14:paraId="3E7C07F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测量管理体系认证工作，是指由测量管理体系认证机构证明企业(或其他组织)能够满足顾客、组织、法律法规等对测量过程和测量设备的质量管理要求，并符合国家标准GB/T19022—2003/ISO 10012:2003《测量管理体系 测量过程和测量设备的要求》的认证活动。通过对测量设备和测量过程的管理，把不准确测量造成的产品质量风险降低到最小程度，以便使测量管理体系在组织实现产品质量目标和其他目标时起着重要的保证作用。</w:t>
            </w:r>
          </w:p>
        </w:tc>
      </w:tr>
      <w:tr w14:paraId="382D5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Merge w:val="continue"/>
            <w:vAlign w:val="center"/>
          </w:tcPr>
          <w:p w14:paraId="30AA233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vertAlign w:val="baseline"/>
                <w14:textFill>
                  <w14:solidFill>
                    <w14:schemeClr w14:val="tx1"/>
                  </w14:solidFill>
                </w14:textFill>
              </w:rPr>
            </w:pPr>
          </w:p>
        </w:tc>
        <w:tc>
          <w:tcPr>
            <w:tcW w:w="1594" w:type="dxa"/>
            <w:vAlign w:val="center"/>
          </w:tcPr>
          <w:p w14:paraId="426A7A7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.近</w:t>
            </w:r>
            <w:r>
              <w:rPr>
                <w:rFonts w:hint="eastAsia" w:ascii="仿宋_GB2312" w:hAnsi="仿宋_GB2312" w:eastAsia="仿宋_GB2312" w:cs="仿宋_GB2312"/>
                <w:color w:val="000000" w:themeColor="text1"/>
                <w:sz w:val="32"/>
                <w:szCs w:val="32"/>
                <w:lang w:eastAsia="zh-CN"/>
                <w14:textFill>
                  <w14:solidFill>
                    <w14:schemeClr w14:val="tx1"/>
                  </w14:solidFill>
                </w14:textFill>
              </w:rPr>
              <w:t>六</w:t>
            </w:r>
            <w:r>
              <w:rPr>
                <w:rFonts w:hint="eastAsia" w:ascii="仿宋_GB2312" w:hAnsi="仿宋_GB2312" w:eastAsia="仿宋_GB2312" w:cs="仿宋_GB2312"/>
                <w:color w:val="000000" w:themeColor="text1"/>
                <w:sz w:val="32"/>
                <w:szCs w:val="32"/>
                <w14:textFill>
                  <w14:solidFill>
                    <w14:schemeClr w14:val="tx1"/>
                  </w14:solidFill>
                </w14:textFill>
              </w:rPr>
              <w:t>年连续两次被公示为</w:t>
            </w:r>
            <w:r>
              <w:rPr>
                <w:rFonts w:hint="eastAsia" w:ascii="仿宋_GB2312" w:hAnsi="仿宋_GB2312" w:eastAsia="仿宋_GB2312" w:cs="仿宋_GB2312"/>
                <w:color w:val="000000" w:themeColor="text1"/>
                <w:sz w:val="32"/>
                <w:szCs w:val="32"/>
                <w:lang w:eastAsia="zh-CN"/>
                <w14:textFill>
                  <w14:solidFill>
                    <w14:schemeClr w14:val="tx1"/>
                  </w14:solidFill>
                </w14:textFill>
              </w:rPr>
              <w:t>泉州</w:t>
            </w:r>
            <w:r>
              <w:rPr>
                <w:rFonts w:hint="eastAsia" w:ascii="仿宋_GB2312" w:hAnsi="仿宋_GB2312" w:eastAsia="仿宋_GB2312" w:cs="仿宋_GB2312"/>
                <w:color w:val="000000" w:themeColor="text1"/>
                <w:sz w:val="32"/>
                <w:szCs w:val="32"/>
                <w14:textFill>
                  <w14:solidFill>
                    <w14:schemeClr w14:val="tx1"/>
                  </w14:solidFill>
                </w14:textFill>
              </w:rPr>
              <w:t>市“守合同重信用”企业</w:t>
            </w:r>
          </w:p>
        </w:tc>
        <w:tc>
          <w:tcPr>
            <w:tcW w:w="5395" w:type="dxa"/>
            <w:vAlign w:val="top"/>
          </w:tcPr>
          <w:p w14:paraId="722E251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泉州</w:t>
            </w:r>
            <w:r>
              <w:rPr>
                <w:rFonts w:hint="eastAsia" w:ascii="仿宋_GB2312" w:hAnsi="仿宋_GB2312" w:eastAsia="仿宋_GB2312" w:cs="仿宋_GB2312"/>
                <w:color w:val="000000" w:themeColor="text1"/>
                <w:sz w:val="32"/>
                <w:szCs w:val="32"/>
                <w14:textFill>
                  <w14:solidFill>
                    <w14:schemeClr w14:val="tx1"/>
                  </w14:solidFill>
                </w14:textFill>
              </w:rPr>
              <w:t>市“守合同重信用”企业公示活动是由市场监管部门在企业自愿申报基础上对企业合同信用信息进行记录并向社会公示的行政指导活动，是社会信用体系建设的重要组成部分。对申报企业合同信用管理体系、合同履约情况、社会影响力和企业信用情况进行综合评价，并向相关部门及社会公众征求意见后确定公示名单。</w:t>
            </w:r>
          </w:p>
        </w:tc>
      </w:tr>
      <w:tr w14:paraId="5F1FA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0" w:hRule="atLeast"/>
        </w:trPr>
        <w:tc>
          <w:tcPr>
            <w:tcW w:w="1533" w:type="dxa"/>
            <w:vMerge w:val="restart"/>
            <w:vAlign w:val="center"/>
          </w:tcPr>
          <w:p w14:paraId="556EFDE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质量信誉等级评价Ⅱ类（好）</w:t>
            </w:r>
          </w:p>
          <w:p w14:paraId="3C4EEA7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c>
          <w:tcPr>
            <w:tcW w:w="1594" w:type="dxa"/>
            <w:vAlign w:val="center"/>
          </w:tcPr>
          <w:p w14:paraId="34F286E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1.确定为省、市产业链供应链质量赋能重点项目的链主企业</w:t>
            </w:r>
          </w:p>
        </w:tc>
        <w:tc>
          <w:tcPr>
            <w:tcW w:w="5395" w:type="dxa"/>
            <w:vAlign w:val="top"/>
          </w:tcPr>
          <w:p w14:paraId="7E53094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确定为省、市产业链供应链质量赋能重点项目的链主企业在企业的规模、市场影响力、创新能力、产业带动作用、行业影响力、人才培养和绿色发展等多个维度具有规模优势和行业主导地位，能在产业链供应链中发挥关键作用。</w:t>
            </w:r>
          </w:p>
        </w:tc>
      </w:tr>
      <w:tr w14:paraId="1C146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Merge w:val="continue"/>
            <w:vAlign w:val="center"/>
          </w:tcPr>
          <w:p w14:paraId="4A636CC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c>
          <w:tcPr>
            <w:tcW w:w="1594" w:type="dxa"/>
            <w:vAlign w:val="center"/>
          </w:tcPr>
          <w:p w14:paraId="0E53A39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.主导制定修订行业标准</w:t>
            </w:r>
          </w:p>
        </w:tc>
        <w:tc>
          <w:tcPr>
            <w:tcW w:w="5395" w:type="dxa"/>
            <w:vAlign w:val="top"/>
          </w:tcPr>
          <w:p w14:paraId="5F23FC9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行业标准由国务院有关行政主管部门发布。企业主导制修订行业标准表明企业在行业内具有较高的技术实力和影响力。</w:t>
            </w:r>
          </w:p>
        </w:tc>
      </w:tr>
      <w:tr w14:paraId="2C8F6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Merge w:val="continue"/>
            <w:vAlign w:val="center"/>
          </w:tcPr>
          <w:p w14:paraId="1BD28C0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c>
          <w:tcPr>
            <w:tcW w:w="1594" w:type="dxa"/>
            <w:vAlign w:val="center"/>
          </w:tcPr>
          <w:p w14:paraId="4B2313C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.获得“企业标准领跑者”称号</w:t>
            </w:r>
          </w:p>
        </w:tc>
        <w:tc>
          <w:tcPr>
            <w:tcW w:w="5395" w:type="dxa"/>
            <w:vAlign w:val="top"/>
          </w:tcPr>
          <w:p w14:paraId="4B45724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企业标准“领跑者”的产品或服务标准的核心指标严于国家标准、行业标准，处于国内领先水平。</w:t>
            </w:r>
          </w:p>
        </w:tc>
      </w:tr>
      <w:tr w14:paraId="6FB1C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Merge w:val="continue"/>
            <w:vAlign w:val="center"/>
          </w:tcPr>
          <w:p w14:paraId="5856D3F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c>
          <w:tcPr>
            <w:tcW w:w="1594" w:type="dxa"/>
            <w:vAlign w:val="center"/>
          </w:tcPr>
          <w:p w14:paraId="13DC324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.承担省级标准化试点项目并通过验收</w:t>
            </w:r>
          </w:p>
        </w:tc>
        <w:tc>
          <w:tcPr>
            <w:tcW w:w="5395" w:type="dxa"/>
            <w:vAlign w:val="top"/>
          </w:tcPr>
          <w:p w14:paraId="0707548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标准化试点是探索运用标准化方法、发挥标准化作用，总结可复制、可推广的经验和标准成果而开展的一系列相关联的活动。省级标准化试点示范项目由省市场监管局立项验收，承担单位一般在省内具有较高的技术实力和影响力。</w:t>
            </w:r>
          </w:p>
        </w:tc>
      </w:tr>
      <w:tr w14:paraId="108BE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Merge w:val="continue"/>
            <w:vAlign w:val="center"/>
          </w:tcPr>
          <w:p w14:paraId="4E89E8E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c>
          <w:tcPr>
            <w:tcW w:w="1594" w:type="dxa"/>
            <w:vAlign w:val="center"/>
          </w:tcPr>
          <w:p w14:paraId="102C8EC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.参与制修订省级以上计量技术规范的企业</w:t>
            </w:r>
          </w:p>
          <w:p w14:paraId="3F7CDF9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c>
          <w:tcPr>
            <w:tcW w:w="5395" w:type="dxa"/>
            <w:vAlign w:val="top"/>
          </w:tcPr>
          <w:p w14:paraId="500295F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计量技术规范是指根据《中华人民共和国计量法》的规定，按照规定程序制定、批准和颁布的，对计量技术工作具有普遍约束力的技术法规，包含计量检定规程、计量校准规范、计量检验规则和计量不确定度评定方法等。计量技术规范是计量活动中使用的技术文件，保证计量单位的统一和计量器具量值的准确的重要技术依据，是产品质量保证的基础。通过制修订计量技术规范，体现企业计量能力和水平，提升企业的产业影响力。</w:t>
            </w:r>
          </w:p>
        </w:tc>
      </w:tr>
      <w:tr w14:paraId="248BD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Merge w:val="continue"/>
            <w:vAlign w:val="center"/>
          </w:tcPr>
          <w:p w14:paraId="3AD87AC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c>
          <w:tcPr>
            <w:tcW w:w="1594" w:type="dxa"/>
            <w:vAlign w:val="center"/>
          </w:tcPr>
          <w:p w14:paraId="5D70732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.已建立企业最高计量标准的企业</w:t>
            </w:r>
          </w:p>
        </w:tc>
        <w:tc>
          <w:tcPr>
            <w:tcW w:w="5395" w:type="dxa"/>
            <w:vAlign w:val="top"/>
          </w:tcPr>
          <w:p w14:paraId="5C13126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企业最高计量标准‌是指企业根据生产、科研和经营管理的需要建立的计量标准，用于本单位内部开展计量检定，作为统一本单位量值的依据。企业最高计量标准是本单位量值溯源的源头，企业最高计量标准的溯源性、准确性和一致性是下一级计量标准和工作计量器具测量结果准确性的基础和保障。</w:t>
            </w:r>
          </w:p>
        </w:tc>
      </w:tr>
      <w:tr w14:paraId="27A43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Merge w:val="continue"/>
            <w:vAlign w:val="center"/>
          </w:tcPr>
          <w:p w14:paraId="02611A3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c>
          <w:tcPr>
            <w:tcW w:w="1594" w:type="dxa"/>
            <w:vAlign w:val="center"/>
          </w:tcPr>
          <w:p w14:paraId="264E192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.近</w:t>
            </w:r>
            <w:r>
              <w:rPr>
                <w:rFonts w:hint="eastAsia" w:ascii="仿宋_GB2312" w:hAnsi="仿宋_GB2312" w:eastAsia="仿宋_GB2312" w:cs="仿宋_GB2312"/>
                <w:color w:val="000000" w:themeColor="text1"/>
                <w:sz w:val="32"/>
                <w:szCs w:val="32"/>
                <w:lang w:eastAsia="zh-CN"/>
                <w14:textFill>
                  <w14:solidFill>
                    <w14:schemeClr w14:val="tx1"/>
                  </w14:solidFill>
                </w14:textFill>
              </w:rPr>
              <w:t>六</w:t>
            </w:r>
            <w:r>
              <w:rPr>
                <w:rFonts w:hint="eastAsia" w:ascii="仿宋_GB2312" w:hAnsi="仿宋_GB2312" w:eastAsia="仿宋_GB2312" w:cs="仿宋_GB2312"/>
                <w:color w:val="000000" w:themeColor="text1"/>
                <w:sz w:val="32"/>
                <w:szCs w:val="32"/>
                <w14:textFill>
                  <w14:solidFill>
                    <w14:schemeClr w14:val="tx1"/>
                  </w14:solidFill>
                </w14:textFill>
              </w:rPr>
              <w:t>年被公示为</w:t>
            </w:r>
            <w:r>
              <w:rPr>
                <w:rFonts w:hint="eastAsia" w:ascii="仿宋_GB2312" w:hAnsi="仿宋_GB2312" w:eastAsia="仿宋_GB2312" w:cs="仿宋_GB2312"/>
                <w:color w:val="000000" w:themeColor="text1"/>
                <w:sz w:val="32"/>
                <w:szCs w:val="32"/>
                <w:lang w:eastAsia="zh-CN"/>
                <w14:textFill>
                  <w14:solidFill>
                    <w14:schemeClr w14:val="tx1"/>
                  </w14:solidFill>
                </w14:textFill>
              </w:rPr>
              <w:t>泉州</w:t>
            </w:r>
            <w:r>
              <w:rPr>
                <w:rFonts w:hint="eastAsia" w:ascii="仿宋_GB2312" w:hAnsi="仿宋_GB2312" w:eastAsia="仿宋_GB2312" w:cs="仿宋_GB2312"/>
                <w:color w:val="000000" w:themeColor="text1"/>
                <w:sz w:val="32"/>
                <w:szCs w:val="32"/>
                <w14:textFill>
                  <w14:solidFill>
                    <w14:schemeClr w14:val="tx1"/>
                  </w14:solidFill>
                </w14:textFill>
              </w:rPr>
              <w:t>市“守合同重信用”企业一次</w:t>
            </w:r>
          </w:p>
        </w:tc>
        <w:tc>
          <w:tcPr>
            <w:tcW w:w="5395" w:type="dxa"/>
            <w:vAlign w:val="top"/>
          </w:tcPr>
          <w:p w14:paraId="7748777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泉州</w:t>
            </w:r>
            <w:r>
              <w:rPr>
                <w:rFonts w:hint="eastAsia" w:ascii="仿宋_GB2312" w:hAnsi="仿宋_GB2312" w:eastAsia="仿宋_GB2312" w:cs="仿宋_GB2312"/>
                <w:color w:val="000000" w:themeColor="text1"/>
                <w:sz w:val="32"/>
                <w:szCs w:val="32"/>
                <w14:textFill>
                  <w14:solidFill>
                    <w14:schemeClr w14:val="tx1"/>
                  </w14:solidFill>
                </w14:textFill>
              </w:rPr>
              <w:t>市“守合同重信用”企业公示活动是由市场监管部门在企业自愿申报基础上对企业合同信用信息进行记录并向社会公示的行政指导活动，是社会信用体系建设的重要组成部分。对申报企业合同信用管理体系、合同履约情况、社会影响力和企业信用情况进行综合评价，并向相关部门及社会公众征求意见后确定公示名单。</w:t>
            </w:r>
          </w:p>
        </w:tc>
      </w:tr>
      <w:tr w14:paraId="12C27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Merge w:val="restart"/>
            <w:vAlign w:val="center"/>
          </w:tcPr>
          <w:p w14:paraId="26E7DEC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质量信誉等级评价Ⅲ类（良好）</w:t>
            </w:r>
          </w:p>
        </w:tc>
        <w:tc>
          <w:tcPr>
            <w:tcW w:w="1594" w:type="dxa"/>
            <w:vAlign w:val="center"/>
          </w:tcPr>
          <w:p w14:paraId="30E6AAC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1.企业已建立首席质量官（质量安全总监）制度</w:t>
            </w:r>
          </w:p>
        </w:tc>
        <w:tc>
          <w:tcPr>
            <w:tcW w:w="5395" w:type="dxa"/>
            <w:vAlign w:val="top"/>
          </w:tcPr>
          <w:p w14:paraId="0C7948D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bookmarkStart w:id="0" w:name="_GoBack"/>
            <w:r>
              <w:rPr>
                <w:rFonts w:hint="eastAsia" w:ascii="仿宋_GB2312" w:hAnsi="仿宋_GB2312" w:eastAsia="仿宋_GB2312" w:cs="仿宋_GB2312"/>
                <w:color w:val="000000" w:themeColor="text1"/>
                <w:sz w:val="32"/>
                <w:szCs w:val="32"/>
                <w14:textFill>
                  <w14:solidFill>
                    <w14:schemeClr w14:val="tx1"/>
                  </w14:solidFill>
                </w14:textFill>
              </w:rPr>
              <w:t>首席质量官（Chief Quality Officer，CQO）是指企业对质量安全和质量发展工作全面负责的高层管理人员，由企业法定代表人或主要负责人选任并授权其开展工作，是企业战略小组的关键质量人才，负责创建以品质为核心的企业文化，塑造企业质量竞争力。</w:t>
            </w:r>
          </w:p>
          <w:bookmarkEnd w:id="0"/>
        </w:tc>
      </w:tr>
      <w:tr w14:paraId="494CB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Merge w:val="continue"/>
            <w:vAlign w:val="center"/>
          </w:tcPr>
          <w:p w14:paraId="03A287A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c>
          <w:tcPr>
            <w:tcW w:w="1594" w:type="dxa"/>
            <w:vAlign w:val="center"/>
          </w:tcPr>
          <w:p w14:paraId="6575A2E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2.产品获得强制性认证企业名单</w:t>
            </w:r>
          </w:p>
        </w:tc>
        <w:tc>
          <w:tcPr>
            <w:tcW w:w="5395" w:type="dxa"/>
            <w:vAlign w:val="top"/>
          </w:tcPr>
          <w:p w14:paraId="2EB2F95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强制性产品认证制度是政府为了保护广大消费者人身和动植物生命安全、保护环境、保护国家安全，依法实施的一种产品合格评定制度。强制性产品认证制度在推动贯彻国家标准、规范市场经济秩序、打击假冒伪劣行为、促进产品质量提升和维护消费者权益等方面具有不可替代的作用和优势。</w:t>
            </w:r>
          </w:p>
        </w:tc>
      </w:tr>
      <w:tr w14:paraId="49712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Merge w:val="continue"/>
            <w:vAlign w:val="center"/>
          </w:tcPr>
          <w:p w14:paraId="5E3469E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c>
          <w:tcPr>
            <w:tcW w:w="1594" w:type="dxa"/>
            <w:vAlign w:val="center"/>
          </w:tcPr>
          <w:p w14:paraId="11D7F2B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3.产品获得节能、节水、绿色产品等自愿性产品认证</w:t>
            </w:r>
          </w:p>
        </w:tc>
        <w:tc>
          <w:tcPr>
            <w:tcW w:w="5395" w:type="dxa"/>
            <w:vAlign w:val="top"/>
          </w:tcPr>
          <w:p w14:paraId="59869FA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自愿性产品认证是企业根据自愿原则向国家认证认可监督管理部门批准的认证机构提出产品认证申请，由认证机构依据认证基本规范、认证规则和技术标准进行的合格评定。经认证合格的，由认证机构颁发产品认证证书，准许企业在产品或者其包装上使用产品认证标志。</w:t>
            </w:r>
          </w:p>
        </w:tc>
      </w:tr>
      <w:tr w14:paraId="6AD59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Merge w:val="continue"/>
            <w:vAlign w:val="center"/>
          </w:tcPr>
          <w:p w14:paraId="62ABC37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c>
          <w:tcPr>
            <w:tcW w:w="1594" w:type="dxa"/>
            <w:vAlign w:val="center"/>
          </w:tcPr>
          <w:p w14:paraId="54D2A03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4.企业获得质量/环境/健康安全等体系认证</w:t>
            </w:r>
          </w:p>
        </w:tc>
        <w:tc>
          <w:tcPr>
            <w:tcW w:w="5395" w:type="dxa"/>
            <w:vAlign w:val="top"/>
          </w:tcPr>
          <w:p w14:paraId="793EE28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管理体系认证是一种保证方法，证明企业或组织的管理体系符规定的要求，具有满足顾客、利益相关方和法规要求的管理能力。</w:t>
            </w:r>
          </w:p>
        </w:tc>
      </w:tr>
      <w:tr w14:paraId="7F57D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Merge w:val="continue"/>
            <w:vAlign w:val="center"/>
          </w:tcPr>
          <w:p w14:paraId="0FC31D3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c>
          <w:tcPr>
            <w:tcW w:w="1594" w:type="dxa"/>
            <w:vAlign w:val="center"/>
          </w:tcPr>
          <w:p w14:paraId="4BDB75B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5.被认定为“名特优新”个体工商户</w:t>
            </w:r>
          </w:p>
        </w:tc>
        <w:tc>
          <w:tcPr>
            <w:tcW w:w="5395" w:type="dxa"/>
            <w:vAlign w:val="top"/>
          </w:tcPr>
          <w:p w14:paraId="2A68B76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名特优新”个体工商户是市场监管部门会同相关部门定期对特色鲜明、诚信经营好、发展潜力大的个体工商户进行认定和重点培育的经营主体。获得“名特优新”认定的个体工商户通常在知名度、品牌影响力、经营特色、产品或服务质量、创新能力或发展潜力等方面具有优势。</w:t>
            </w:r>
          </w:p>
        </w:tc>
      </w:tr>
      <w:tr w14:paraId="2AC13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Merge w:val="continue"/>
            <w:vAlign w:val="center"/>
          </w:tcPr>
          <w:p w14:paraId="42FB338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c>
          <w:tcPr>
            <w:tcW w:w="1594" w:type="dxa"/>
            <w:vAlign w:val="center"/>
          </w:tcPr>
          <w:p w14:paraId="407F351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6.地理标志专用标志使用企业</w:t>
            </w:r>
          </w:p>
        </w:tc>
        <w:tc>
          <w:tcPr>
            <w:tcW w:w="5395" w:type="dxa"/>
            <w:vAlign w:val="top"/>
          </w:tcPr>
          <w:p w14:paraId="1F6E60A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国家知识产权局对地理标志专用标志予以登记备案，并纳入官方标志保护。地理标志专用标志的合法使用人包括下列主体：（一）经公告核准使用地理标志产品专用标志的生产者;（二）经公告地理标志已作为集体商标注册的注册人的集体成员;（三）经公告备案的已作为证明商标注册的地理标志的被许可人;（四）经国家知识产权局登记备案的其他使用人。</w:t>
            </w:r>
          </w:p>
        </w:tc>
      </w:tr>
      <w:tr w14:paraId="2F3BA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Merge w:val="continue"/>
            <w:vAlign w:val="center"/>
          </w:tcPr>
          <w:p w14:paraId="35B4ED4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c>
          <w:tcPr>
            <w:tcW w:w="1594" w:type="dxa"/>
            <w:vAlign w:val="center"/>
          </w:tcPr>
          <w:p w14:paraId="02F43CD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7.实施中小企业计量伙伴计划的企业</w:t>
            </w:r>
          </w:p>
        </w:tc>
        <w:tc>
          <w:tcPr>
            <w:tcW w:w="5395" w:type="dxa"/>
            <w:vAlign w:val="top"/>
          </w:tcPr>
          <w:p w14:paraId="3B6923B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市场监管总局、工信部联合制定印发《关于实施中小企业计量伙伴计划的通知》的要求，引导龙头企业倡议带动中小企业实施计量伙伴计划，推动形成计量资源充分共享、计量活动有效衔接、计量能力协同推进的大中小企业计量融通创新生态，有力支撑产业链供应链补链固链强链。</w:t>
            </w:r>
          </w:p>
        </w:tc>
      </w:tr>
      <w:tr w14:paraId="306C7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Merge w:val="continue"/>
            <w:vAlign w:val="center"/>
          </w:tcPr>
          <w:p w14:paraId="40A5FE7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c>
          <w:tcPr>
            <w:tcW w:w="1594" w:type="dxa"/>
            <w:vAlign w:val="center"/>
          </w:tcPr>
          <w:p w14:paraId="7E32D5F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8.开展碳计量审查的企业</w:t>
            </w:r>
          </w:p>
        </w:tc>
        <w:tc>
          <w:tcPr>
            <w:tcW w:w="5395" w:type="dxa"/>
            <w:vAlign w:val="top"/>
          </w:tcPr>
          <w:p w14:paraId="4A94B9F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碳计量审查指政府行政主管部门对重点排放单位碳计量器具配备和使用、碳计量人员配备和培训、碳计量数据管理等碳计量工作情况的审核与检查。通过审查引导企业合理配备和使用碳排放计量器具，加强碳排放计量数据采集、分析和利用，帮扶企业解决节能降碳的计量难题，不断完善碳计量管理体系，推广先进的节能降碳计量管理理念和技术，提升企业碳计量能力和水平。</w:t>
            </w:r>
          </w:p>
        </w:tc>
      </w:tr>
      <w:tr w14:paraId="67993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533" w:type="dxa"/>
            <w:vMerge w:val="continue"/>
            <w:vAlign w:val="center"/>
          </w:tcPr>
          <w:p w14:paraId="02A3BBE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c>
          <w:tcPr>
            <w:tcW w:w="1594" w:type="dxa"/>
            <w:vAlign w:val="center"/>
          </w:tcPr>
          <w:p w14:paraId="3E229AB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主导制修订地方标准</w:t>
            </w:r>
          </w:p>
        </w:tc>
        <w:tc>
          <w:tcPr>
            <w:tcW w:w="5395" w:type="dxa"/>
            <w:vAlign w:val="top"/>
          </w:tcPr>
          <w:p w14:paraId="3A60975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地方标准由省、市级标准化行政主管部门</w:t>
            </w:r>
            <w:r>
              <w:rPr>
                <w:rFonts w:hint="eastAsia" w:ascii="仿宋_GB2312" w:hAnsi="仿宋_GB2312" w:eastAsia="仿宋_GB2312" w:cs="仿宋_GB2312"/>
                <w:color w:val="000000" w:themeColor="text1"/>
                <w:sz w:val="32"/>
                <w:szCs w:val="32"/>
                <w:lang w:eastAsia="zh-CN"/>
                <w14:textFill>
                  <w14:solidFill>
                    <w14:schemeClr w14:val="tx1"/>
                  </w14:solidFill>
                </w14:textFill>
              </w:rPr>
              <w:t>发布</w:t>
            </w:r>
            <w:r>
              <w:rPr>
                <w:rFonts w:hint="eastAsia" w:ascii="仿宋_GB2312" w:hAnsi="仿宋_GB2312" w:eastAsia="仿宋_GB2312" w:cs="仿宋_GB2312"/>
                <w:color w:val="000000" w:themeColor="text1"/>
                <w:sz w:val="32"/>
                <w:szCs w:val="32"/>
                <w14:textFill>
                  <w14:solidFill>
                    <w14:schemeClr w14:val="tx1"/>
                  </w14:solidFill>
                </w14:textFill>
              </w:rPr>
              <w:t>。企业主导制修订地方标准表明企业在本地具有较高的技术实力和影响力。</w:t>
            </w:r>
          </w:p>
        </w:tc>
      </w:tr>
      <w:tr w14:paraId="77FC1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Merge w:val="continue"/>
            <w:vAlign w:val="center"/>
          </w:tcPr>
          <w:p w14:paraId="289992B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c>
          <w:tcPr>
            <w:tcW w:w="1594" w:type="dxa"/>
            <w:vAlign w:val="center"/>
          </w:tcPr>
          <w:p w14:paraId="6413168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积极参与</w:t>
            </w:r>
            <w:r>
              <w:rPr>
                <w:rFonts w:hint="eastAsia" w:ascii="仿宋_GB2312" w:hAnsi="仿宋_GB2312" w:eastAsia="仿宋_GB2312" w:cs="仿宋_GB2312"/>
                <w:color w:val="000000" w:themeColor="text1"/>
                <w:sz w:val="32"/>
                <w:szCs w:val="32"/>
                <w14:textFill>
                  <w14:solidFill>
                    <w14:schemeClr w14:val="tx1"/>
                  </w14:solidFill>
                </w14:textFill>
              </w:rPr>
              <w:t>“放心消费</w:t>
            </w:r>
            <w:r>
              <w:rPr>
                <w:rFonts w:hint="eastAsia" w:ascii="仿宋_GB2312" w:hAnsi="仿宋_GB2312" w:eastAsia="仿宋_GB2312" w:cs="仿宋_GB2312"/>
                <w:color w:val="000000" w:themeColor="text1"/>
                <w:sz w:val="32"/>
                <w:szCs w:val="32"/>
                <w:lang w:eastAsia="zh-CN"/>
                <w14:textFill>
                  <w14:solidFill>
                    <w14:schemeClr w14:val="tx1"/>
                  </w14:solidFill>
                </w14:textFill>
              </w:rPr>
              <w:t>在福建</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行动，并申报为“放心消费承诺单位”</w:t>
            </w:r>
          </w:p>
        </w:tc>
        <w:tc>
          <w:tcPr>
            <w:tcW w:w="5395" w:type="dxa"/>
            <w:vAlign w:val="top"/>
          </w:tcPr>
          <w:p w14:paraId="74BCC821">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“放心消费承诺单位”</w:t>
            </w:r>
            <w:r>
              <w:rPr>
                <w:rFonts w:hint="eastAsia" w:ascii="仿宋_GB2312" w:hAnsi="仿宋_GB2312" w:eastAsia="仿宋_GB2312" w:cs="仿宋_GB2312"/>
                <w:color w:val="000000" w:themeColor="text1"/>
                <w:sz w:val="32"/>
                <w:szCs w:val="32"/>
                <w:lang w:eastAsia="zh-CN"/>
                <w14:textFill>
                  <w14:solidFill>
                    <w14:schemeClr w14:val="tx1"/>
                  </w14:solidFill>
                </w14:textFill>
              </w:rPr>
              <w:t>需经“放心消费在福建”平台公开承诺并完成申报备案：须</w:t>
            </w:r>
            <w:r>
              <w:rPr>
                <w:rFonts w:hint="eastAsia" w:ascii="仿宋_GB2312" w:hAnsi="仿宋_GB2312" w:eastAsia="仿宋_GB2312" w:cs="仿宋_GB2312"/>
                <w:color w:val="000000" w:themeColor="text1"/>
                <w:sz w:val="32"/>
                <w:szCs w:val="32"/>
                <w14:textFill>
                  <w14:solidFill>
                    <w14:schemeClr w14:val="tx1"/>
                  </w14:solidFill>
                </w14:textFill>
              </w:rPr>
              <w:t>依法取得</w:t>
            </w:r>
            <w:r>
              <w:rPr>
                <w:rFonts w:hint="eastAsia" w:ascii="仿宋_GB2312" w:hAnsi="仿宋_GB2312" w:eastAsia="仿宋_GB2312" w:cs="仿宋_GB2312"/>
                <w:color w:val="000000" w:themeColor="text1"/>
                <w:sz w:val="32"/>
                <w:szCs w:val="32"/>
                <w:lang w:eastAsia="zh-CN"/>
                <w14:textFill>
                  <w14:solidFill>
                    <w14:schemeClr w14:val="tx1"/>
                  </w14:solidFill>
                </w14:textFill>
              </w:rPr>
              <w:t>经营资质，</w:t>
            </w:r>
            <w:r>
              <w:rPr>
                <w:rFonts w:hint="eastAsia" w:ascii="仿宋_GB2312" w:hAnsi="仿宋_GB2312" w:eastAsia="仿宋_GB2312" w:cs="仿宋_GB2312"/>
                <w:color w:val="000000" w:themeColor="text1"/>
                <w:sz w:val="32"/>
                <w:szCs w:val="32"/>
                <w14:textFill>
                  <w14:solidFill>
                    <w14:schemeClr w14:val="tx1"/>
                  </w14:solidFill>
                </w14:textFill>
              </w:rPr>
              <w:t>经营</w:t>
            </w:r>
            <w:r>
              <w:rPr>
                <w:rFonts w:hint="eastAsia" w:ascii="仿宋_GB2312" w:hAnsi="仿宋_GB2312" w:eastAsia="仿宋_GB2312" w:cs="仿宋_GB2312"/>
                <w:color w:val="000000" w:themeColor="text1"/>
                <w:sz w:val="32"/>
                <w:szCs w:val="32"/>
                <w:lang w:eastAsia="zh-CN"/>
                <w14:textFill>
                  <w14:solidFill>
                    <w14:schemeClr w14:val="tx1"/>
                  </w14:solidFill>
                </w14:textFill>
              </w:rPr>
              <w:t>满一年</w:t>
            </w:r>
            <w:r>
              <w:rPr>
                <w:rFonts w:hint="eastAsia" w:ascii="仿宋_GB2312" w:hAnsi="仿宋_GB2312" w:eastAsia="仿宋_GB2312" w:cs="仿宋_GB2312"/>
                <w:color w:val="000000" w:themeColor="text1"/>
                <w:sz w:val="32"/>
                <w:szCs w:val="32"/>
                <w14:textFill>
                  <w14:solidFill>
                    <w14:schemeClr w14:val="tx1"/>
                  </w14:solidFill>
                </w14:textFill>
              </w:rPr>
              <w:t>以上；</w:t>
            </w:r>
            <w:r>
              <w:rPr>
                <w:rFonts w:hint="eastAsia" w:ascii="仿宋_GB2312" w:hAnsi="仿宋_GB2312" w:eastAsia="仿宋_GB2312" w:cs="仿宋_GB2312"/>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eastAsia="zh-CN"/>
                <w14:textFill>
                  <w14:solidFill>
                    <w14:schemeClr w14:val="tx1"/>
                  </w14:solidFill>
                </w14:textFill>
              </w:rPr>
              <w:t>内未</w:t>
            </w:r>
            <w:r>
              <w:rPr>
                <w:rFonts w:hint="eastAsia" w:ascii="仿宋_GB2312" w:hAnsi="仿宋_GB2312" w:eastAsia="仿宋_GB2312" w:cs="仿宋_GB2312"/>
                <w:color w:val="000000" w:themeColor="text1"/>
                <w:sz w:val="32"/>
                <w:szCs w:val="32"/>
                <w14:textFill>
                  <w14:solidFill>
                    <w14:schemeClr w14:val="tx1"/>
                  </w14:solidFill>
                </w14:textFill>
              </w:rPr>
              <w:t>列入</w:t>
            </w:r>
            <w:r>
              <w:rPr>
                <w:rFonts w:hint="eastAsia" w:ascii="仿宋_GB2312" w:hAnsi="仿宋_GB2312" w:eastAsia="仿宋_GB2312" w:cs="仿宋_GB2312"/>
                <w:color w:val="000000" w:themeColor="text1"/>
                <w:sz w:val="32"/>
                <w:szCs w:val="32"/>
                <w:lang w:eastAsia="zh-CN"/>
                <w14:textFill>
                  <w14:solidFill>
                    <w14:schemeClr w14:val="tx1"/>
                  </w14:solidFill>
                </w14:textFill>
              </w:rPr>
              <w:t>经营</w:t>
            </w:r>
            <w:r>
              <w:rPr>
                <w:rFonts w:hint="eastAsia" w:ascii="仿宋_GB2312" w:hAnsi="仿宋_GB2312" w:eastAsia="仿宋_GB2312" w:cs="仿宋_GB2312"/>
                <w:color w:val="000000" w:themeColor="text1"/>
                <w:sz w:val="32"/>
                <w:szCs w:val="32"/>
                <w14:textFill>
                  <w14:solidFill>
                    <w14:schemeClr w14:val="tx1"/>
                  </w14:solidFill>
                </w14:textFill>
              </w:rPr>
              <w:t>异常名录，</w:t>
            </w:r>
            <w:r>
              <w:rPr>
                <w:rFonts w:hint="eastAsia" w:ascii="仿宋_GB2312" w:hAnsi="仿宋_GB2312" w:eastAsia="仿宋_GB2312" w:cs="仿宋_GB2312"/>
                <w:color w:val="000000" w:themeColor="text1"/>
                <w:sz w:val="32"/>
                <w:szCs w:val="32"/>
                <w:lang w:eastAsia="zh-CN"/>
                <w14:textFill>
                  <w14:solidFill>
                    <w14:schemeClr w14:val="tx1"/>
                  </w14:solidFill>
                </w14:textFill>
              </w:rPr>
              <w:t>严重违法失信名单。企业自觉公开经营和服务承诺，诚实守信、公平交易、优质服务，消费争议快速处理，主动接受社会监督，共同建设“安全放心、</w:t>
            </w:r>
            <w:r>
              <w:rPr>
                <w:rFonts w:hint="eastAsia" w:ascii="仿宋_GB2312" w:hAnsi="仿宋_GB2312" w:eastAsia="仿宋_GB2312" w:cs="仿宋_GB2312"/>
                <w:color w:val="000000" w:themeColor="text1"/>
                <w:sz w:val="32"/>
                <w:szCs w:val="32"/>
                <w14:textFill>
                  <w14:solidFill>
                    <w14:schemeClr w14:val="tx1"/>
                  </w14:solidFill>
                </w14:textFill>
              </w:rPr>
              <w:t>质量放心、价格放心、服务放心、维权放心”</w:t>
            </w:r>
            <w:r>
              <w:rPr>
                <w:rFonts w:hint="eastAsia" w:ascii="仿宋_GB2312" w:hAnsi="仿宋_GB2312" w:eastAsia="仿宋_GB2312" w:cs="仿宋_GB2312"/>
                <w:color w:val="000000" w:themeColor="text1"/>
                <w:sz w:val="32"/>
                <w:szCs w:val="32"/>
                <w:lang w:eastAsia="zh-CN"/>
                <w14:textFill>
                  <w14:solidFill>
                    <w14:schemeClr w14:val="tx1"/>
                  </w14:solidFill>
                </w14:textFill>
              </w:rPr>
              <w:t>的消费环境</w:t>
            </w:r>
            <w:r>
              <w:rPr>
                <w:rFonts w:hint="eastAsia" w:ascii="仿宋_GB2312" w:hAnsi="仿宋_GB2312" w:eastAsia="仿宋_GB2312" w:cs="仿宋_GB2312"/>
                <w:color w:val="000000" w:themeColor="text1"/>
                <w:sz w:val="32"/>
                <w:szCs w:val="32"/>
                <w14:textFill>
                  <w14:solidFill>
                    <w14:schemeClr w14:val="tx1"/>
                  </w14:solidFill>
                </w14:textFill>
              </w:rPr>
              <w:t>。</w:t>
            </w:r>
          </w:p>
        </w:tc>
      </w:tr>
      <w:tr w14:paraId="75D2C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0" w:hRule="atLeast"/>
        </w:trPr>
        <w:tc>
          <w:tcPr>
            <w:tcW w:w="1533" w:type="dxa"/>
            <w:vMerge w:val="continue"/>
            <w:vAlign w:val="center"/>
          </w:tcPr>
          <w:p w14:paraId="47DBA77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c>
          <w:tcPr>
            <w:tcW w:w="1594" w:type="dxa"/>
            <w:vAlign w:val="center"/>
          </w:tcPr>
          <w:p w14:paraId="474FB91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.确定为省、市产业链供应链质量赋能重点项目的链</w:t>
            </w:r>
            <w:r>
              <w:rPr>
                <w:rFonts w:hint="eastAsia" w:ascii="仿宋_GB2312" w:hAnsi="仿宋_GB2312" w:eastAsia="仿宋_GB2312" w:cs="仿宋_GB2312"/>
                <w:color w:val="000000" w:themeColor="text1"/>
                <w:sz w:val="32"/>
                <w:szCs w:val="32"/>
                <w:lang w:eastAsia="zh-CN"/>
                <w14:textFill>
                  <w14:solidFill>
                    <w14:schemeClr w14:val="tx1"/>
                  </w14:solidFill>
                </w14:textFill>
              </w:rPr>
              <w:t>员</w:t>
            </w:r>
            <w:r>
              <w:rPr>
                <w:rFonts w:hint="eastAsia" w:ascii="仿宋_GB2312" w:hAnsi="仿宋_GB2312" w:eastAsia="仿宋_GB2312" w:cs="仿宋_GB2312"/>
                <w:color w:val="000000" w:themeColor="text1"/>
                <w:sz w:val="32"/>
                <w:szCs w:val="32"/>
                <w14:textFill>
                  <w14:solidFill>
                    <w14:schemeClr w14:val="tx1"/>
                  </w14:solidFill>
                </w14:textFill>
              </w:rPr>
              <w:t>企业</w:t>
            </w:r>
          </w:p>
        </w:tc>
        <w:tc>
          <w:tcPr>
            <w:tcW w:w="5395" w:type="dxa"/>
            <w:vAlign w:val="top"/>
          </w:tcPr>
          <w:p w14:paraId="52429D6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确定为省、市产业链供应链质量赋能重点项目的链</w:t>
            </w:r>
            <w:r>
              <w:rPr>
                <w:rFonts w:hint="eastAsia" w:ascii="仿宋_GB2312" w:hAnsi="仿宋_GB2312" w:eastAsia="仿宋_GB2312" w:cs="仿宋_GB2312"/>
                <w:color w:val="000000" w:themeColor="text1"/>
                <w:sz w:val="32"/>
                <w:szCs w:val="32"/>
                <w:lang w:eastAsia="zh-CN"/>
                <w14:textFill>
                  <w14:solidFill>
                    <w14:schemeClr w14:val="tx1"/>
                  </w14:solidFill>
                </w14:textFill>
              </w:rPr>
              <w:t>员</w:t>
            </w:r>
            <w:r>
              <w:rPr>
                <w:rFonts w:hint="eastAsia" w:ascii="仿宋_GB2312" w:hAnsi="仿宋_GB2312" w:eastAsia="仿宋_GB2312" w:cs="仿宋_GB2312"/>
                <w:color w:val="000000" w:themeColor="text1"/>
                <w:sz w:val="32"/>
                <w:szCs w:val="32"/>
                <w14:textFill>
                  <w14:solidFill>
                    <w14:schemeClr w14:val="tx1"/>
                  </w14:solidFill>
                </w14:textFill>
              </w:rPr>
              <w:t>企业</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在</w:t>
            </w:r>
            <w:r>
              <w:rPr>
                <w:rFonts w:hint="eastAsia" w:ascii="仿宋_GB2312" w:hAnsi="仿宋_GB2312" w:eastAsia="仿宋_GB2312" w:cs="仿宋_GB2312"/>
                <w:color w:val="000000" w:themeColor="text1"/>
                <w:sz w:val="32"/>
                <w:szCs w:val="32"/>
                <w:lang w:eastAsia="zh-CN"/>
                <w14:textFill>
                  <w14:solidFill>
                    <w14:schemeClr w14:val="tx1"/>
                  </w14:solidFill>
                </w14:textFill>
              </w:rPr>
              <w:t>链主</w:t>
            </w:r>
            <w:r>
              <w:rPr>
                <w:rFonts w:hint="eastAsia" w:ascii="仿宋_GB2312" w:hAnsi="仿宋_GB2312" w:eastAsia="仿宋_GB2312" w:cs="仿宋_GB2312"/>
                <w:color w:val="000000" w:themeColor="text1"/>
                <w:sz w:val="32"/>
                <w:szCs w:val="32"/>
                <w14:textFill>
                  <w14:solidFill>
                    <w14:schemeClr w14:val="tx1"/>
                  </w14:solidFill>
                </w14:textFill>
              </w:rPr>
              <w:t>企业的</w:t>
            </w:r>
            <w:r>
              <w:rPr>
                <w:rFonts w:hint="eastAsia" w:ascii="仿宋_GB2312" w:hAnsi="仿宋_GB2312" w:eastAsia="仿宋_GB2312" w:cs="仿宋_GB2312"/>
                <w:color w:val="000000" w:themeColor="text1"/>
                <w:sz w:val="32"/>
                <w:szCs w:val="32"/>
                <w:lang w:eastAsia="zh-CN"/>
                <w14:textFill>
                  <w14:solidFill>
                    <w14:schemeClr w14:val="tx1"/>
                  </w14:solidFill>
                </w14:textFill>
              </w:rPr>
              <w:t>带动下</w:t>
            </w:r>
            <w:r>
              <w:rPr>
                <w:rFonts w:hint="eastAsia" w:ascii="仿宋_GB2312" w:hAnsi="仿宋_GB2312" w:eastAsia="仿宋_GB2312" w:cs="仿宋_GB2312"/>
                <w:color w:val="000000" w:themeColor="text1"/>
                <w:sz w:val="32"/>
                <w:szCs w:val="32"/>
                <w14:textFill>
                  <w14:solidFill>
                    <w14:schemeClr w14:val="tx1"/>
                  </w14:solidFill>
                </w14:textFill>
              </w:rPr>
              <w:t>，能在产业链供应链中发挥关键</w:t>
            </w:r>
            <w:r>
              <w:rPr>
                <w:rFonts w:hint="eastAsia" w:ascii="仿宋_GB2312" w:hAnsi="仿宋_GB2312" w:eastAsia="仿宋_GB2312" w:cs="仿宋_GB2312"/>
                <w:color w:val="000000" w:themeColor="text1"/>
                <w:sz w:val="32"/>
                <w:szCs w:val="32"/>
                <w:lang w:eastAsia="zh-CN"/>
                <w14:textFill>
                  <w14:solidFill>
                    <w14:schemeClr w14:val="tx1"/>
                  </w14:solidFill>
                </w14:textFill>
              </w:rPr>
              <w:t>辅助</w:t>
            </w:r>
            <w:r>
              <w:rPr>
                <w:rFonts w:hint="eastAsia" w:ascii="仿宋_GB2312" w:hAnsi="仿宋_GB2312" w:eastAsia="仿宋_GB2312" w:cs="仿宋_GB2312"/>
                <w:color w:val="000000" w:themeColor="text1"/>
                <w:sz w:val="32"/>
                <w:szCs w:val="32"/>
                <w14:textFill>
                  <w14:solidFill>
                    <w14:schemeClr w14:val="tx1"/>
                  </w14:solidFill>
                </w14:textFill>
              </w:rPr>
              <w:t>作用。</w:t>
            </w:r>
          </w:p>
        </w:tc>
      </w:tr>
      <w:tr w14:paraId="571E2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1533" w:type="dxa"/>
            <w:vMerge w:val="continue"/>
            <w:vAlign w:val="center"/>
          </w:tcPr>
          <w:p w14:paraId="248CF80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c>
          <w:tcPr>
            <w:tcW w:w="1594" w:type="dxa"/>
            <w:vAlign w:val="center"/>
          </w:tcPr>
          <w:p w14:paraId="6FF88C3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企业是</w:t>
            </w:r>
            <w:r>
              <w:rPr>
                <w:rFonts w:hint="eastAsia" w:ascii="仿宋_GB2312" w:hAnsi="仿宋_GB2312" w:eastAsia="仿宋_GB2312" w:cs="仿宋_GB2312"/>
                <w:color w:val="000000" w:themeColor="text1"/>
                <w:sz w:val="32"/>
                <w:szCs w:val="32"/>
                <w14:textFill>
                  <w14:solidFill>
                    <w14:schemeClr w14:val="tx1"/>
                  </w14:solidFill>
                </w14:textFill>
              </w:rPr>
              <w:t>获</w:t>
            </w:r>
            <w:r>
              <w:rPr>
                <w:rFonts w:hint="eastAsia" w:ascii="仿宋_GB2312" w:hAnsi="仿宋_GB2312" w:eastAsia="仿宋_GB2312" w:cs="仿宋_GB2312"/>
                <w:color w:val="000000" w:themeColor="text1"/>
                <w:sz w:val="32"/>
                <w:szCs w:val="32"/>
                <w:lang w:eastAsia="zh-CN"/>
                <w14:textFill>
                  <w14:solidFill>
                    <w14:schemeClr w14:val="tx1"/>
                  </w14:solidFill>
                </w14:textFill>
              </w:rPr>
              <w:t>得</w:t>
            </w:r>
            <w:r>
              <w:rPr>
                <w:rFonts w:hint="eastAsia" w:ascii="仿宋_GB2312" w:hAnsi="仿宋_GB2312" w:eastAsia="仿宋_GB2312" w:cs="仿宋_GB2312"/>
                <w:color w:val="000000" w:themeColor="text1"/>
                <w:sz w:val="32"/>
                <w:szCs w:val="32"/>
                <w14:textFill>
                  <w14:solidFill>
                    <w14:schemeClr w14:val="tx1"/>
                  </w14:solidFill>
                </w14:textFill>
              </w:rPr>
              <w:t>国家、省、市各级政府质量奖或提名奖</w:t>
            </w:r>
            <w:r>
              <w:rPr>
                <w:rFonts w:hint="eastAsia" w:ascii="仿宋_GB2312" w:hAnsi="仿宋_GB2312" w:eastAsia="仿宋_GB2312" w:cs="仿宋_GB2312"/>
                <w:color w:val="000000" w:themeColor="text1"/>
                <w:sz w:val="32"/>
                <w:szCs w:val="32"/>
                <w:lang w:eastAsia="zh-CN"/>
                <w14:textFill>
                  <w14:solidFill>
                    <w14:schemeClr w14:val="tx1"/>
                  </w14:solidFill>
                </w14:textFill>
              </w:rPr>
              <w:t>的供应商</w:t>
            </w:r>
          </w:p>
        </w:tc>
        <w:tc>
          <w:tcPr>
            <w:tcW w:w="5395" w:type="dxa"/>
            <w:vAlign w:val="top"/>
          </w:tcPr>
          <w:p w14:paraId="1BE2E29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企业是</w:t>
            </w:r>
            <w:r>
              <w:rPr>
                <w:rFonts w:hint="eastAsia" w:ascii="仿宋_GB2312" w:hAnsi="仿宋_GB2312" w:eastAsia="仿宋_GB2312" w:cs="仿宋_GB2312"/>
                <w:color w:val="000000" w:themeColor="text1"/>
                <w:sz w:val="32"/>
                <w:szCs w:val="32"/>
                <w14:textFill>
                  <w14:solidFill>
                    <w14:schemeClr w14:val="tx1"/>
                  </w14:solidFill>
                </w14:textFill>
              </w:rPr>
              <w:t>获</w:t>
            </w:r>
            <w:r>
              <w:rPr>
                <w:rFonts w:hint="eastAsia" w:ascii="仿宋_GB2312" w:hAnsi="仿宋_GB2312" w:eastAsia="仿宋_GB2312" w:cs="仿宋_GB2312"/>
                <w:color w:val="000000" w:themeColor="text1"/>
                <w:sz w:val="32"/>
                <w:szCs w:val="32"/>
                <w:lang w:eastAsia="zh-CN"/>
                <w14:textFill>
                  <w14:solidFill>
                    <w14:schemeClr w14:val="tx1"/>
                  </w14:solidFill>
                </w14:textFill>
              </w:rPr>
              <w:t>得</w:t>
            </w:r>
            <w:r>
              <w:rPr>
                <w:rFonts w:hint="eastAsia" w:ascii="仿宋_GB2312" w:hAnsi="仿宋_GB2312" w:eastAsia="仿宋_GB2312" w:cs="仿宋_GB2312"/>
                <w:color w:val="000000" w:themeColor="text1"/>
                <w:sz w:val="32"/>
                <w:szCs w:val="32"/>
                <w14:textFill>
                  <w14:solidFill>
                    <w14:schemeClr w14:val="tx1"/>
                  </w14:solidFill>
                </w14:textFill>
              </w:rPr>
              <w:t>国家、省、市各级政府质量奖或提名奖</w:t>
            </w:r>
            <w:r>
              <w:rPr>
                <w:rFonts w:hint="eastAsia" w:ascii="仿宋_GB2312" w:hAnsi="仿宋_GB2312" w:eastAsia="仿宋_GB2312" w:cs="仿宋_GB2312"/>
                <w:color w:val="000000" w:themeColor="text1"/>
                <w:sz w:val="32"/>
                <w:szCs w:val="32"/>
                <w:lang w:eastAsia="zh-CN"/>
                <w14:textFill>
                  <w14:solidFill>
                    <w14:schemeClr w14:val="tx1"/>
                  </w14:solidFill>
                </w14:textFill>
              </w:rPr>
              <w:t>企业推荐的供应商，且导入《卓越绩效评价准则》。</w:t>
            </w:r>
          </w:p>
        </w:tc>
      </w:tr>
      <w:tr w14:paraId="1450F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vAlign w:val="center"/>
          </w:tcPr>
          <w:p w14:paraId="1758BAA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 查询企业信用信息公示系统，经营主体处于市场监督管理严重违法失信名单或经营异常名录状态的，近3年内发生较大及以上安全生产、环保、质量等事故，不予进行质量信誉等级评价。</w:t>
            </w:r>
          </w:p>
        </w:tc>
      </w:tr>
      <w:tr w14:paraId="37216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vAlign w:val="center"/>
          </w:tcPr>
          <w:p w14:paraId="0A2F7B3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2.在评价过程中，如果经营主体同时满足多个等级的标准，应优先考虑赋予较高等级。例如，如果一个经营主体既满足Ⅱ类（好）的标准，也部分满足Ⅰ类（优秀）的标准，应考虑将其评为Ⅰ类（优秀）。</w:t>
            </w:r>
          </w:p>
        </w:tc>
      </w:tr>
    </w:tbl>
    <w:p w14:paraId="4B3B1735">
      <w:pPr>
        <w:rPr>
          <w:rFonts w:hint="eastAsia" w:ascii="黑体" w:hAnsi="黑体" w:eastAsia="黑体" w:cs="黑体"/>
          <w:sz w:val="32"/>
          <w:szCs w:val="32"/>
          <w:lang w:eastAsia="zh-CN"/>
        </w:rPr>
      </w:pPr>
    </w:p>
    <w:p w14:paraId="406D1785">
      <w:pPr>
        <w:spacing w:line="560" w:lineRule="exact"/>
        <w:ind w:firstLine="320" w:firstLineChars="100"/>
        <w:rPr>
          <w:rFonts w:hint="default"/>
          <w:lang w:val="en-US" w:eastAsia="zh-CN"/>
        </w:rPr>
      </w:pPr>
      <w:r>
        <w:rPr>
          <w:rFonts w:ascii="仿宋_GB2312" w:hAnsi="仿宋_GB2312" w:eastAsia="仿宋_GB2312" w:cs="仿宋_GB2312"/>
          <w:sz w:val="32"/>
          <w:szCs w:val="24"/>
        </w:rPr>
        <mc:AlternateContent>
          <mc:Choice Requires="wpg">
            <w:drawing>
              <wp:anchor distT="0" distB="0" distL="114300" distR="114300" simplePos="0" relativeHeight="251660288" behindDoc="0" locked="0" layoutInCell="1" allowOverlap="1">
                <wp:simplePos x="0" y="0"/>
                <wp:positionH relativeFrom="column">
                  <wp:posOffset>-7620</wp:posOffset>
                </wp:positionH>
                <wp:positionV relativeFrom="paragraph">
                  <wp:posOffset>756920</wp:posOffset>
                </wp:positionV>
                <wp:extent cx="5608320" cy="360680"/>
                <wp:effectExtent l="0" t="0" r="0" b="0"/>
                <wp:wrapNone/>
                <wp:docPr id="3" name="组合 3"/>
                <wp:cNvGraphicFramePr/>
                <a:graphic xmlns:a="http://schemas.openxmlformats.org/drawingml/2006/main">
                  <a:graphicData uri="http://schemas.microsoft.com/office/word/2010/wordprocessingGroup">
                    <wpg:wgp>
                      <wpg:cNvGrpSpPr/>
                      <wpg:grpSpPr>
                        <a:xfrm>
                          <a:off x="0" y="0"/>
                          <a:ext cx="5608320" cy="360680"/>
                          <a:chOff x="9605" y="83041"/>
                          <a:chExt cx="8453" cy="568"/>
                        </a:xfrm>
                        <a:effectLst/>
                      </wpg:grpSpPr>
                      <wps:wsp>
                        <wps:cNvPr id="7" name="文本框 3"/>
                        <wps:cNvSpPr txBox="1"/>
                        <wps:spPr>
                          <a:xfrm>
                            <a:off x="9605" y="83041"/>
                            <a:ext cx="4725" cy="567"/>
                          </a:xfrm>
                          <a:prstGeom prst="rect">
                            <a:avLst/>
                          </a:prstGeom>
                          <a:noFill/>
                          <a:ln>
                            <a:noFill/>
                          </a:ln>
                          <a:effectLst/>
                        </wps:spPr>
                        <wps:txbx>
                          <w:txbxContent>
                            <w:p w14:paraId="7B0BC3D4"/>
                          </w:txbxContent>
                        </wps:txbx>
                        <wps:bodyPr lIns="0" tIns="0" rIns="0" bIns="0" upright="1"/>
                      </wps:wsp>
                      <wps:wsp>
                        <wps:cNvPr id="8" name="文本框 4"/>
                        <wps:cNvSpPr txBox="1"/>
                        <wps:spPr>
                          <a:xfrm>
                            <a:off x="14725" y="83042"/>
                            <a:ext cx="3333" cy="567"/>
                          </a:xfrm>
                          <a:prstGeom prst="rect">
                            <a:avLst/>
                          </a:prstGeom>
                          <a:noFill/>
                          <a:ln>
                            <a:noFill/>
                          </a:ln>
                          <a:effectLst/>
                        </wps:spPr>
                        <wps:txbx>
                          <w:txbxContent>
                            <w:p w14:paraId="423B0065">
                              <w:pPr>
                                <w:wordWrap w:val="0"/>
                                <w:spacing w:line="480" w:lineRule="exact"/>
                                <w:jc w:val="right"/>
                                <w:rPr>
                                  <w:rFonts w:ascii="Times New Roman" w:hAnsi="Times New Roman" w:eastAsia="仿宋_GB2312" w:cs="Times New Roman"/>
                                  <w:color w:val="C00000"/>
                                  <w:sz w:val="28"/>
                                  <w:szCs w:val="28"/>
                                </w:rPr>
                              </w:pPr>
                              <w:r>
                                <w:rPr>
                                  <w:rFonts w:hint="eastAsia" w:ascii="Times New Roman" w:hAnsi="Times New Roman" w:eastAsia="仿宋_GB2312" w:cs="Times New Roman"/>
                                  <w:color w:val="C00000"/>
                                  <w:sz w:val="28"/>
                                  <w:szCs w:val="28"/>
                                </w:rPr>
                                <w:t>　</w:t>
                              </w:r>
                            </w:p>
                          </w:txbxContent>
                        </wps:txbx>
                        <wps:bodyPr lIns="0" tIns="0" rIns="0" bIns="0" upright="1"/>
                      </wps:wsp>
                    </wpg:wgp>
                  </a:graphicData>
                </a:graphic>
              </wp:anchor>
            </w:drawing>
          </mc:Choice>
          <mc:Fallback>
            <w:pict>
              <v:group id="_x0000_s1026" o:spid="_x0000_s1026" o:spt="203" style="position:absolute;left:0pt;margin-left:-0.6pt;margin-top:59.6pt;height:28.4pt;width:441.6pt;z-index:251660288;mso-width-relative:page;mso-height-relative:page;" coordorigin="9605,83041" coordsize="8453,568" o:gfxdata="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R&#10;VfoU2QAAAAoBAAAPAAAAAAAAAAEAIAAAACIAAABkcnMvZG93bnJldi54bWxQSwECFAAUAAAACACH&#10;TuJATzz+EFwCAABjBgAADgAAAAAAAAABACAAAAAoAQAAZHJzL2Uyb0RvYy54bWxQSwUGAAAAAAYA&#10;BgBZAQAA9gUAAAAA&#10;">
                <o:lock v:ext="edit" aspectratio="f"/>
                <v:shape id="文本框 3" o:spid="_x0000_s1026" o:spt="202" type="#_x0000_t202" style="position:absolute;left:9605;top:83041;height:567;width:4725;"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7B0BC3D4"/>
                    </w:txbxContent>
                  </v:textbox>
                </v:shape>
                <v:shape id="文本框 4" o:spid="_x0000_s1026" o:spt="202" type="#_x0000_t202" style="position:absolute;left:14725;top:83042;height:567;width:3333;"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423B0065">
                        <w:pPr>
                          <w:wordWrap w:val="0"/>
                          <w:spacing w:line="480" w:lineRule="exact"/>
                          <w:jc w:val="right"/>
                          <w:rPr>
                            <w:rFonts w:ascii="Times New Roman" w:hAnsi="Times New Roman" w:eastAsia="仿宋_GB2312" w:cs="Times New Roman"/>
                            <w:color w:val="C00000"/>
                            <w:sz w:val="28"/>
                            <w:szCs w:val="28"/>
                          </w:rPr>
                        </w:pPr>
                        <w:r>
                          <w:rPr>
                            <w:rFonts w:hint="eastAsia" w:ascii="Times New Roman" w:hAnsi="Times New Roman" w:eastAsia="仿宋_GB2312" w:cs="Times New Roman"/>
                            <w:color w:val="C00000"/>
                            <w:sz w:val="28"/>
                            <w:szCs w:val="28"/>
                          </w:rPr>
                          <w:t>　</w:t>
                        </w:r>
                      </w:p>
                    </w:txbxContent>
                  </v:textbox>
                </v:shape>
              </v:group>
            </w:pict>
          </mc:Fallback>
        </mc:AlternateConten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_GB2312">
    <w:altName w:val="Bitstream Vera Sans"/>
    <w:panose1 w:val="00000000000000000000"/>
    <w:charset w:val="00"/>
    <w:family w:val="auto"/>
    <w:pitch w:val="default"/>
    <w:sig w:usb0="00000000" w:usb1="00000000" w:usb2="00000000" w:usb3="00000000" w:csb0="00000001" w:csb1="00000000"/>
  </w:font>
  <w:font w:name="Bitstream Vera Sans">
    <w:panose1 w:val="020B0603030804020204"/>
    <w:charset w:val="00"/>
    <w:family w:val="auto"/>
    <w:pitch w:val="default"/>
    <w:sig w:usb0="800000AF" w:usb1="1000204A"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889A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-130810</wp:posOffset>
              </wp:positionV>
              <wp:extent cx="720725" cy="27686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20725" cy="2768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C10E51">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0.3pt;height:21.8pt;width:56.75pt;mso-position-horizontal:outside;mso-position-horizontal-relative:margin;z-index:251659264;mso-width-relative:page;mso-height-relative:page;" filled="f" stroked="f" coordsize="21600,21600" o:gfxdata="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0vr/fWAAAABwEAAA8AAAAAAAAAAQAgAAAAIgAAAGRycy9kb3ducmV2&#10;LnhtbFBLAQIUABQAAAAIAIdO4kAoiBZaNwIAAGEEAAAOAAAAAAAAAAEAIAAAACUBAABkcnMvZTJv&#10;RG9jLnhtbFBLBQYAAAAABgAGAFkBAADOBQAAAAA=&#10;">
              <v:fill on="f" focussize="0,0"/>
              <v:stroke on="f" weight="0.5pt"/>
              <v:imagedata o:title=""/>
              <o:lock v:ext="edit" aspectratio="f"/>
              <v:textbox inset="0mm,0mm,0mm,0mm">
                <w:txbxContent>
                  <w:p w14:paraId="17C10E51">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C7D9BD"/>
    <w:rsid w:val="2EBD4349"/>
    <w:rsid w:val="2FF6BC0A"/>
    <w:rsid w:val="3C7E6698"/>
    <w:rsid w:val="3DEE0A66"/>
    <w:rsid w:val="3FE6A2CE"/>
    <w:rsid w:val="4AEE5556"/>
    <w:rsid w:val="59A57C23"/>
    <w:rsid w:val="623DCB55"/>
    <w:rsid w:val="6F7FACCC"/>
    <w:rsid w:val="6F9FD910"/>
    <w:rsid w:val="6FC7D9BD"/>
    <w:rsid w:val="70DF686D"/>
    <w:rsid w:val="7319D108"/>
    <w:rsid w:val="75BFAB95"/>
    <w:rsid w:val="76BF0D24"/>
    <w:rsid w:val="779FAF52"/>
    <w:rsid w:val="78BBBAEA"/>
    <w:rsid w:val="7ADB6915"/>
    <w:rsid w:val="7AFC2A64"/>
    <w:rsid w:val="7B6F6045"/>
    <w:rsid w:val="7CC4EF88"/>
    <w:rsid w:val="7CFE5CF9"/>
    <w:rsid w:val="7DEFC70C"/>
    <w:rsid w:val="7E7FEF1E"/>
    <w:rsid w:val="7F9E2D19"/>
    <w:rsid w:val="7FFC8921"/>
    <w:rsid w:val="8B936500"/>
    <w:rsid w:val="92FBDBA4"/>
    <w:rsid w:val="9DF7DEB1"/>
    <w:rsid w:val="B7D7CD4A"/>
    <w:rsid w:val="B8FF03CA"/>
    <w:rsid w:val="B9FF2EEB"/>
    <w:rsid w:val="BBD3E8AD"/>
    <w:rsid w:val="BE7FDB3E"/>
    <w:rsid w:val="BFA9B421"/>
    <w:rsid w:val="CE7B347C"/>
    <w:rsid w:val="CF51CEE3"/>
    <w:rsid w:val="CFAFCBAB"/>
    <w:rsid w:val="DBD31FE7"/>
    <w:rsid w:val="EBBD9C9F"/>
    <w:rsid w:val="F3E5D296"/>
    <w:rsid w:val="F5BA5BA2"/>
    <w:rsid w:val="F7AED28F"/>
    <w:rsid w:val="FDFF4238"/>
    <w:rsid w:val="FF3BFA01"/>
    <w:rsid w:val="FFB3CEED"/>
    <w:rsid w:val="FFDF0ACC"/>
    <w:rsid w:val="FFF69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endnote text"/>
    <w:qFormat/>
    <w:uiPriority w:val="0"/>
    <w:pPr>
      <w:widowControl w:val="0"/>
      <w:snapToGrid w:val="0"/>
    </w:pPr>
    <w:rPr>
      <w:rFonts w:ascii="Times New Roman" w:hAnsi="Times New Roman" w:eastAsia="宋体" w:cs="Times New Roman"/>
      <w:kern w:val="2"/>
      <w:sz w:val="21"/>
      <w:szCs w:val="24"/>
      <w:lang w:val="en-US" w:eastAsia="zh-CN" w:bidi="ar-SA"/>
    </w:rPr>
  </w:style>
  <w:style w:type="paragraph" w:styleId="3">
    <w:name w:val="Balloon Text"/>
    <w:basedOn w:val="1"/>
    <w:next w:val="2"/>
    <w:semiHidden/>
    <w:qFormat/>
    <w:uiPriority w:val="0"/>
    <w:rPr>
      <w:rFonts w:ascii="Times New Roman" w:hAnsi="Times New Roman" w:cs="Times New Roman"/>
      <w:sz w:val="18"/>
      <w:szCs w:val="18"/>
    </w:rPr>
  </w:style>
  <w:style w:type="paragraph" w:styleId="4">
    <w:name w:val="footer"/>
    <w:basedOn w:val="1"/>
    <w:next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公文正文"/>
    <w:basedOn w:val="1"/>
    <w:qFormat/>
    <w:uiPriority w:val="0"/>
    <w:rPr>
      <w:rFonts w:eastAsia="仿宋_GB2312"/>
      <w:sz w:val="32"/>
      <w:szCs w:val="30"/>
    </w:rPr>
  </w:style>
  <w:style w:type="character" w:customStyle="1" w:styleId="10">
    <w:name w:val="样式 仿宋_GB2312"/>
    <w:basedOn w:val="8"/>
    <w:qFormat/>
    <w:uiPriority w:val="99"/>
    <w:rPr>
      <w:rFonts w:ascii="??_GB2312" w:hAnsi="??_GB2312" w:cs="??_GB231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7362</Words>
  <Characters>7526</Characters>
  <Lines>0</Lines>
  <Paragraphs>0</Paragraphs>
  <TotalTime>899</TotalTime>
  <ScaleCrop>false</ScaleCrop>
  <LinksUpToDate>false</LinksUpToDate>
  <CharactersWithSpaces>7587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2025-05-21T07:12:00Z</dcterms:created>
  <dc:creator>UOS</dc:creator>
  <cp:lastModifiedBy>UOS</cp:lastModifiedBy>
  <dcterms:modified xsi:type="dcterms:W3CDTF">2025-06-30T17:14:12Z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B2A7677A8ECC0DD86AAC2668D785D71F</vt:lpwstr>
  </property>
</Properties>
</file>